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395660" w:rsidRPr="008C1B90" w:rsidTr="008C1B90">
        <w:trPr>
          <w:jc w:val="center"/>
        </w:trPr>
        <w:tc>
          <w:tcPr>
            <w:tcW w:w="3165" w:type="dxa"/>
            <w:shd w:val="clear" w:color="auto" w:fill="auto"/>
            <w:vAlign w:val="center"/>
          </w:tcPr>
          <w:p w:rsidR="00395660" w:rsidRPr="008C1B90" w:rsidRDefault="00395660" w:rsidP="008C1B90">
            <w:pPr>
              <w:tabs>
                <w:tab w:val="left" w:pos="1120"/>
                <w:tab w:val="left" w:pos="1700"/>
              </w:tabs>
              <w:ind w:right="8"/>
              <w:jc w:val="center"/>
              <w:rPr>
                <w:rFonts w:ascii="Arial" w:hAnsi="Arial"/>
                <w:sz w:val="40"/>
                <w:szCs w:val="40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:rsidR="00395660" w:rsidRPr="008C1B90" w:rsidRDefault="00395660" w:rsidP="008C1B90">
            <w:pPr>
              <w:tabs>
                <w:tab w:val="left" w:pos="1120"/>
                <w:tab w:val="left" w:pos="1700"/>
              </w:tabs>
              <w:ind w:right="8"/>
              <w:jc w:val="center"/>
              <w:rPr>
                <w:rFonts w:ascii="Arial" w:hAnsi="Arial"/>
                <w:sz w:val="40"/>
                <w:szCs w:val="40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:rsidR="00395660" w:rsidRPr="008C1B90" w:rsidRDefault="00395660" w:rsidP="008C1B90">
            <w:pPr>
              <w:tabs>
                <w:tab w:val="left" w:pos="1120"/>
                <w:tab w:val="left" w:pos="1700"/>
              </w:tabs>
              <w:ind w:right="8"/>
              <w:jc w:val="center"/>
              <w:rPr>
                <w:rFonts w:ascii="Arial" w:hAnsi="Arial"/>
                <w:sz w:val="40"/>
                <w:szCs w:val="40"/>
              </w:rPr>
            </w:pPr>
          </w:p>
        </w:tc>
      </w:tr>
    </w:tbl>
    <w:p w:rsidR="00395660" w:rsidRDefault="00395660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</w:p>
    <w:p w:rsidR="00395660" w:rsidRDefault="00395660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</w:p>
    <w:p w:rsidR="00395660" w:rsidRDefault="00395660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</w:p>
    <w:p w:rsidR="00395660" w:rsidRDefault="00395660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</w:p>
    <w:p w:rsidR="00580202" w:rsidRDefault="00580202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  <w:bookmarkStart w:id="0" w:name="_GoBack"/>
      <w:bookmarkEnd w:id="0"/>
      <w:r w:rsidRPr="00E207B0">
        <w:rPr>
          <w:rFonts w:ascii="Arial" w:hAnsi="Arial"/>
          <w:sz w:val="40"/>
          <w:szCs w:val="40"/>
        </w:rPr>
        <w:t>Cahier des charges de concession pour le</w:t>
      </w:r>
    </w:p>
    <w:p w:rsidR="00580202" w:rsidRDefault="00580202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  <w:r w:rsidRPr="00E207B0">
        <w:rPr>
          <w:rFonts w:ascii="Arial" w:hAnsi="Arial"/>
          <w:sz w:val="40"/>
          <w:szCs w:val="40"/>
        </w:rPr>
        <w:t>Service public du développement</w:t>
      </w:r>
    </w:p>
    <w:p w:rsidR="00580202" w:rsidRDefault="00580202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  <w:r w:rsidRPr="00E207B0">
        <w:rPr>
          <w:rFonts w:ascii="Arial" w:hAnsi="Arial"/>
          <w:sz w:val="40"/>
          <w:szCs w:val="40"/>
        </w:rPr>
        <w:t>et de l’exploitation du réseau de distribution d’électricité et de la fourniture</w:t>
      </w:r>
    </w:p>
    <w:p w:rsidR="00580202" w:rsidRPr="00E207B0" w:rsidRDefault="00580202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d</w:t>
      </w:r>
      <w:r w:rsidRPr="00E207B0">
        <w:rPr>
          <w:rFonts w:ascii="Arial" w:hAnsi="Arial"/>
          <w:sz w:val="40"/>
          <w:szCs w:val="40"/>
        </w:rPr>
        <w:t>’énergie électrique aux tarifs réglementés</w:t>
      </w:r>
    </w:p>
    <w:p w:rsidR="00580202" w:rsidRDefault="00580202" w:rsidP="00580202">
      <w:pPr>
        <w:tabs>
          <w:tab w:val="left" w:pos="1120"/>
          <w:tab w:val="left" w:pos="1700"/>
        </w:tabs>
        <w:ind w:right="8"/>
        <w:jc w:val="both"/>
        <w:rPr>
          <w:rFonts w:ascii="Arial" w:hAnsi="Arial"/>
          <w:sz w:val="40"/>
          <w:szCs w:val="40"/>
        </w:rPr>
      </w:pPr>
    </w:p>
    <w:p w:rsidR="000D598D" w:rsidRPr="00E207B0" w:rsidRDefault="000D598D" w:rsidP="00580202">
      <w:pPr>
        <w:tabs>
          <w:tab w:val="left" w:pos="1120"/>
          <w:tab w:val="left" w:pos="1700"/>
        </w:tabs>
        <w:ind w:right="8"/>
        <w:jc w:val="both"/>
        <w:rPr>
          <w:rFonts w:ascii="Arial" w:hAnsi="Arial"/>
          <w:sz w:val="40"/>
          <w:szCs w:val="40"/>
        </w:rPr>
      </w:pPr>
    </w:p>
    <w:p w:rsidR="000D598D" w:rsidRDefault="000D598D" w:rsidP="000D598D">
      <w:pPr>
        <w:tabs>
          <w:tab w:val="left" w:pos="1120"/>
          <w:tab w:val="left" w:pos="1700"/>
        </w:tabs>
        <w:ind w:left="40" w:right="8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 xml:space="preserve">SYDED </w:t>
      </w:r>
    </w:p>
    <w:p w:rsidR="000D598D" w:rsidRDefault="000D598D" w:rsidP="000D598D">
      <w:pPr>
        <w:tabs>
          <w:tab w:val="left" w:pos="1120"/>
          <w:tab w:val="left" w:pos="1700"/>
        </w:tabs>
        <w:ind w:left="40" w:right="8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>Syndicat Mixte d’Energies du Doubs</w:t>
      </w:r>
    </w:p>
    <w:p w:rsidR="00933C01" w:rsidRDefault="00933C01" w:rsidP="00933C01">
      <w:pPr>
        <w:tabs>
          <w:tab w:val="left" w:pos="1120"/>
          <w:tab w:val="left" w:pos="1700"/>
        </w:tabs>
        <w:ind w:left="40" w:right="8"/>
        <w:jc w:val="center"/>
        <w:rPr>
          <w:rFonts w:ascii="Calibri" w:hAnsi="Calibri" w:cs="Calibri"/>
          <w:sz w:val="44"/>
          <w:szCs w:val="44"/>
        </w:rPr>
      </w:pPr>
    </w:p>
    <w:p w:rsidR="00580202" w:rsidRPr="00E207B0" w:rsidRDefault="00580202" w:rsidP="00580202">
      <w:pPr>
        <w:tabs>
          <w:tab w:val="left" w:pos="1120"/>
          <w:tab w:val="left" w:pos="1700"/>
        </w:tabs>
        <w:ind w:right="8"/>
        <w:jc w:val="center"/>
        <w:rPr>
          <w:rFonts w:ascii="Arial" w:hAnsi="Arial"/>
          <w:sz w:val="40"/>
          <w:szCs w:val="40"/>
        </w:rPr>
      </w:pPr>
    </w:p>
    <w:p w:rsidR="00580202" w:rsidRPr="003E1164" w:rsidRDefault="00580202" w:rsidP="00580202">
      <w:pPr>
        <w:tabs>
          <w:tab w:val="left" w:pos="1120"/>
          <w:tab w:val="left" w:pos="1700"/>
        </w:tabs>
        <w:ind w:right="8"/>
        <w:jc w:val="both"/>
        <w:rPr>
          <w:rFonts w:ascii="Arial" w:hAnsi="Arial"/>
        </w:rPr>
      </w:pPr>
    </w:p>
    <w:p w:rsidR="00580202" w:rsidRPr="00B20C2E" w:rsidRDefault="00580202" w:rsidP="00580202">
      <w:pPr>
        <w:tabs>
          <w:tab w:val="left" w:pos="1120"/>
          <w:tab w:val="left" w:pos="1700"/>
        </w:tabs>
        <w:ind w:right="8"/>
        <w:jc w:val="both"/>
        <w:rPr>
          <w:rFonts w:ascii="Arial" w:hAnsi="Arial"/>
          <w:sz w:val="28"/>
          <w:szCs w:val="28"/>
        </w:rPr>
      </w:pPr>
    </w:p>
    <w:p w:rsidR="00580202" w:rsidRDefault="00580202" w:rsidP="00580202">
      <w:pPr>
        <w:jc w:val="center"/>
        <w:rPr>
          <w:b/>
          <w:sz w:val="32"/>
          <w:szCs w:val="32"/>
          <w:u w:val="single"/>
        </w:rPr>
      </w:pPr>
      <w:r w:rsidRPr="00C7508E">
        <w:rPr>
          <w:b/>
          <w:sz w:val="32"/>
          <w:szCs w:val="32"/>
          <w:u w:val="single"/>
        </w:rPr>
        <w:t>ANNEXE 2</w:t>
      </w:r>
      <w:r>
        <w:rPr>
          <w:b/>
          <w:sz w:val="32"/>
          <w:szCs w:val="32"/>
          <w:u w:val="single"/>
        </w:rPr>
        <w:t>B</w:t>
      </w:r>
      <w:r w:rsidRPr="00C7508E">
        <w:rPr>
          <w:b/>
          <w:sz w:val="32"/>
          <w:szCs w:val="32"/>
          <w:u w:val="single"/>
        </w:rPr>
        <w:t xml:space="preserve">  </w:t>
      </w:r>
    </w:p>
    <w:p w:rsidR="00580202" w:rsidRDefault="00580202" w:rsidP="00580202">
      <w:pPr>
        <w:jc w:val="center"/>
        <w:rPr>
          <w:b/>
          <w:sz w:val="32"/>
          <w:szCs w:val="32"/>
          <w:u w:val="single"/>
        </w:rPr>
      </w:pPr>
    </w:p>
    <w:p w:rsidR="00580202" w:rsidRDefault="00580202" w:rsidP="0058020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PROGRAMME PLURIANNUEL D’</w:t>
      </w:r>
      <w:r w:rsidRPr="00C7508E">
        <w:rPr>
          <w:b/>
          <w:sz w:val="32"/>
          <w:szCs w:val="32"/>
          <w:u w:val="single"/>
        </w:rPr>
        <w:t>INVESTISSEMENTS</w:t>
      </w:r>
    </w:p>
    <w:p w:rsidR="00395660" w:rsidRDefault="00395660" w:rsidP="00580202">
      <w:pPr>
        <w:jc w:val="center"/>
        <w:rPr>
          <w:b/>
          <w:sz w:val="32"/>
          <w:szCs w:val="32"/>
          <w:u w:val="single"/>
        </w:rPr>
      </w:pPr>
    </w:p>
    <w:p w:rsidR="00580202" w:rsidRPr="00C7508E" w:rsidRDefault="00CC1105" w:rsidP="0058020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PERIODE 202</w:t>
      </w:r>
      <w:r w:rsidR="00510AD5">
        <w:rPr>
          <w:b/>
          <w:sz w:val="32"/>
          <w:szCs w:val="32"/>
          <w:u w:val="single"/>
        </w:rPr>
        <w:t>1</w:t>
      </w:r>
      <w:r w:rsidR="00580202">
        <w:rPr>
          <w:b/>
          <w:sz w:val="32"/>
          <w:szCs w:val="32"/>
          <w:u w:val="single"/>
        </w:rPr>
        <w:t>-202</w:t>
      </w:r>
      <w:r w:rsidR="00C93953">
        <w:rPr>
          <w:b/>
          <w:sz w:val="32"/>
          <w:szCs w:val="32"/>
          <w:u w:val="single"/>
        </w:rPr>
        <w:t>5</w:t>
      </w:r>
    </w:p>
    <w:p w:rsidR="00580202" w:rsidRDefault="00580202" w:rsidP="00580202">
      <w:pPr>
        <w:tabs>
          <w:tab w:val="left" w:pos="1120"/>
          <w:tab w:val="left" w:pos="1700"/>
        </w:tabs>
        <w:ind w:right="8"/>
        <w:jc w:val="both"/>
        <w:rPr>
          <w:rFonts w:ascii="Arial" w:hAnsi="Arial"/>
        </w:rPr>
      </w:pPr>
    </w:p>
    <w:p w:rsidR="00580202" w:rsidRDefault="00580202" w:rsidP="00580202">
      <w:pPr>
        <w:tabs>
          <w:tab w:val="left" w:pos="1120"/>
          <w:tab w:val="left" w:pos="1700"/>
        </w:tabs>
        <w:ind w:right="8"/>
        <w:jc w:val="both"/>
        <w:rPr>
          <w:rFonts w:ascii="Arial" w:hAnsi="Arial"/>
        </w:rPr>
      </w:pPr>
    </w:p>
    <w:p w:rsidR="00580202" w:rsidRPr="0098114D" w:rsidRDefault="00580202" w:rsidP="00580202">
      <w:pPr>
        <w:pStyle w:val="Titre1"/>
        <w:spacing w:before="0"/>
        <w:rPr>
          <w:rFonts w:ascii="Calibri" w:hAnsi="Calibri" w:cs="Calibri"/>
          <w:color w:val="auto"/>
          <w:sz w:val="24"/>
          <w:szCs w:val="24"/>
          <w:u w:val="single"/>
        </w:rPr>
      </w:pPr>
      <w:r w:rsidRPr="0032710C">
        <w:rPr>
          <w:rFonts w:ascii="Calibri" w:hAnsi="Calibri" w:cs="Calibri"/>
          <w:sz w:val="22"/>
          <w:szCs w:val="22"/>
        </w:rPr>
        <w:br w:type="page"/>
      </w:r>
      <w:bookmarkStart w:id="1" w:name="_Toc498975515"/>
      <w:r w:rsidRPr="0098114D">
        <w:rPr>
          <w:rFonts w:ascii="Calibri" w:hAnsi="Calibri" w:cs="Calibri"/>
          <w:color w:val="auto"/>
          <w:sz w:val="24"/>
          <w:szCs w:val="24"/>
          <w:u w:val="single"/>
        </w:rPr>
        <w:lastRenderedPageBreak/>
        <w:t>Préambule</w:t>
      </w:r>
      <w:bookmarkEnd w:id="1"/>
    </w:p>
    <w:p w:rsidR="00580202" w:rsidRPr="0032710C" w:rsidRDefault="00580202" w:rsidP="00580202">
      <w:pPr>
        <w:rPr>
          <w:rFonts w:ascii="Calibri" w:hAnsi="Calibri" w:cs="Calibri"/>
          <w:sz w:val="22"/>
          <w:szCs w:val="22"/>
        </w:rPr>
      </w:pPr>
    </w:p>
    <w:p w:rsidR="00EA1495" w:rsidRPr="00EA1495" w:rsidRDefault="00D1231C" w:rsidP="00BC265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Deux </w:t>
      </w:r>
      <w:r w:rsidRPr="0032710C">
        <w:rPr>
          <w:rFonts w:ascii="Calibri" w:hAnsi="Calibri" w:cs="Calibri"/>
          <w:sz w:val="22"/>
          <w:szCs w:val="22"/>
        </w:rPr>
        <w:t>programme</w:t>
      </w:r>
      <w:r>
        <w:rPr>
          <w:rFonts w:ascii="Calibri" w:hAnsi="Calibri" w:cs="Calibri"/>
          <w:sz w:val="22"/>
          <w:szCs w:val="22"/>
        </w:rPr>
        <w:t>s</w:t>
      </w:r>
      <w:r w:rsidRPr="0032710C">
        <w:rPr>
          <w:rFonts w:ascii="Calibri" w:hAnsi="Calibri" w:cs="Calibri"/>
          <w:sz w:val="22"/>
          <w:szCs w:val="22"/>
        </w:rPr>
        <w:t xml:space="preserve"> pluriannuel</w:t>
      </w:r>
      <w:r>
        <w:rPr>
          <w:rFonts w:ascii="Calibri" w:hAnsi="Calibri" w:cs="Calibri"/>
          <w:sz w:val="22"/>
          <w:szCs w:val="22"/>
        </w:rPr>
        <w:t>s</w:t>
      </w:r>
      <w:r w:rsidRPr="0032710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ont été élaborés afin de tenir compte </w:t>
      </w:r>
      <w:r w:rsidR="00BC2656">
        <w:rPr>
          <w:rFonts w:ascii="Calibri" w:hAnsi="Calibri" w:cs="Calibri"/>
          <w:sz w:val="22"/>
          <w:szCs w:val="22"/>
        </w:rPr>
        <w:t>de l’</w:t>
      </w:r>
      <w:r>
        <w:rPr>
          <w:rFonts w:ascii="Calibri" w:hAnsi="Calibri" w:cs="Calibri"/>
          <w:sz w:val="22"/>
          <w:szCs w:val="22"/>
        </w:rPr>
        <w:t xml:space="preserve">application du nouveau contrat </w:t>
      </w:r>
      <w:r w:rsidR="00BC2656">
        <w:rPr>
          <w:rFonts w:ascii="Calibri" w:hAnsi="Calibri" w:cs="Calibri"/>
          <w:sz w:val="22"/>
          <w:szCs w:val="22"/>
        </w:rPr>
        <w:t xml:space="preserve">en régime rural </w:t>
      </w:r>
      <w:r>
        <w:rPr>
          <w:rFonts w:ascii="Calibri" w:hAnsi="Calibri" w:cs="Calibri"/>
          <w:sz w:val="22"/>
          <w:szCs w:val="22"/>
        </w:rPr>
        <w:t xml:space="preserve">ou </w:t>
      </w:r>
      <w:r w:rsidR="00BC2656">
        <w:rPr>
          <w:rFonts w:ascii="Calibri" w:hAnsi="Calibri" w:cs="Calibri"/>
          <w:sz w:val="22"/>
          <w:szCs w:val="22"/>
        </w:rPr>
        <w:t xml:space="preserve">en régime urbain. En effet, </w:t>
      </w:r>
      <w:r>
        <w:rPr>
          <w:rFonts w:ascii="Calibri" w:hAnsi="Calibri" w:cs="Calibri"/>
          <w:sz w:val="22"/>
          <w:szCs w:val="22"/>
        </w:rPr>
        <w:t>conformément à l’avenant 9 du contrat de concession du 20</w:t>
      </w:r>
      <w:r w:rsidR="008B727C">
        <w:rPr>
          <w:rFonts w:ascii="Calibri" w:hAnsi="Calibri" w:cs="Calibri"/>
          <w:sz w:val="22"/>
          <w:szCs w:val="22"/>
        </w:rPr>
        <w:t xml:space="preserve"> décembre </w:t>
      </w:r>
      <w:r>
        <w:rPr>
          <w:rFonts w:ascii="Calibri" w:hAnsi="Calibri" w:cs="Calibri"/>
          <w:sz w:val="22"/>
          <w:szCs w:val="22"/>
        </w:rPr>
        <w:t xml:space="preserve">2000, </w:t>
      </w:r>
      <w:r w:rsidR="00BC2656">
        <w:rPr>
          <w:rFonts w:ascii="Calibri" w:hAnsi="Calibri" w:cs="Calibri"/>
          <w:sz w:val="22"/>
          <w:szCs w:val="22"/>
        </w:rPr>
        <w:t>p</w:t>
      </w:r>
      <w:r w:rsidR="00EA1495" w:rsidRPr="00EA1495">
        <w:rPr>
          <w:rFonts w:ascii="Calibri" w:hAnsi="Calibri" w:cs="Calibri"/>
          <w:sz w:val="22"/>
          <w:szCs w:val="22"/>
        </w:rPr>
        <w:t>our que les dispositions relatives à la nouvelle répartition de la maîtrise d’ouvrage entrent en vigueur, l’arrêté de la préfecture du Doubs à prendre dans les six mois suivant le prochain renouvellement</w:t>
      </w:r>
      <w:r>
        <w:rPr>
          <w:rFonts w:ascii="Calibri" w:hAnsi="Calibri" w:cs="Calibri"/>
          <w:sz w:val="22"/>
          <w:szCs w:val="22"/>
        </w:rPr>
        <w:t xml:space="preserve"> général des conseil municipaux (</w:t>
      </w:r>
      <w:r w:rsidR="00EA1495" w:rsidRPr="00EA1495">
        <w:rPr>
          <w:rFonts w:ascii="Calibri" w:hAnsi="Calibri" w:cs="Calibri"/>
          <w:sz w:val="22"/>
          <w:szCs w:val="22"/>
        </w:rPr>
        <w:t>conformément à  l’article 2.1.IV du décret n° 2013-46 du 14 janvier 2013 relatif aux aides pour l’électrification rurale</w:t>
      </w:r>
      <w:r>
        <w:rPr>
          <w:rFonts w:ascii="Calibri" w:hAnsi="Calibri" w:cs="Calibri"/>
          <w:sz w:val="22"/>
          <w:szCs w:val="22"/>
        </w:rPr>
        <w:t>)</w:t>
      </w:r>
      <w:r w:rsidR="00EA1495" w:rsidRPr="00EA1495">
        <w:rPr>
          <w:rFonts w:ascii="Calibri" w:hAnsi="Calibri" w:cs="Calibri"/>
          <w:sz w:val="22"/>
          <w:szCs w:val="22"/>
        </w:rPr>
        <w:t xml:space="preserve">, devra classer avec effet au 1er janvier 2021 une majorité de communes du département dans la liste des communes relevant du régime de l’électrification rurale. </w:t>
      </w:r>
      <w:r w:rsidR="00BA73F5">
        <w:rPr>
          <w:rFonts w:ascii="Calibri" w:hAnsi="Calibri" w:cs="Calibri"/>
          <w:sz w:val="22"/>
          <w:szCs w:val="22"/>
        </w:rPr>
        <w:t xml:space="preserve">Dans cette hypothèse, le </w:t>
      </w:r>
      <w:r w:rsidR="00BA73F5" w:rsidRPr="0032710C">
        <w:rPr>
          <w:rFonts w:ascii="Calibri" w:hAnsi="Calibri" w:cs="Calibri"/>
          <w:sz w:val="22"/>
          <w:szCs w:val="22"/>
        </w:rPr>
        <w:t>programme pluriannuel</w:t>
      </w:r>
      <w:r w:rsidR="00BA73F5">
        <w:rPr>
          <w:rFonts w:ascii="Calibri" w:hAnsi="Calibri" w:cs="Calibri"/>
          <w:sz w:val="22"/>
          <w:szCs w:val="22"/>
        </w:rPr>
        <w:t xml:space="preserve"> relatif au régime rural sera appliqué.</w:t>
      </w:r>
    </w:p>
    <w:p w:rsidR="00EA1495" w:rsidRDefault="00EA1495" w:rsidP="00EA149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A1495">
        <w:rPr>
          <w:rFonts w:ascii="Calibri" w:hAnsi="Calibri" w:cs="Calibri"/>
          <w:sz w:val="22"/>
          <w:szCs w:val="22"/>
        </w:rPr>
        <w:t>A défaut, les parties acceptent dès à présent que le Nouveau Contrat préserve le statu quo dans la répartition de la maîtrise d’ouvrage</w:t>
      </w:r>
      <w:r w:rsidR="00D1231C">
        <w:rPr>
          <w:rFonts w:ascii="Calibri" w:hAnsi="Calibri" w:cs="Calibri"/>
          <w:sz w:val="22"/>
          <w:szCs w:val="22"/>
        </w:rPr>
        <w:t xml:space="preserve">, et que soit appliqué le </w:t>
      </w:r>
      <w:r w:rsidR="00D1231C" w:rsidRPr="0032710C">
        <w:rPr>
          <w:rFonts w:ascii="Calibri" w:hAnsi="Calibri" w:cs="Calibri"/>
          <w:sz w:val="22"/>
          <w:szCs w:val="22"/>
        </w:rPr>
        <w:t>programme pluriannuel</w:t>
      </w:r>
      <w:r w:rsidR="00D1231C">
        <w:rPr>
          <w:rFonts w:ascii="Calibri" w:hAnsi="Calibri" w:cs="Calibri"/>
          <w:sz w:val="22"/>
          <w:szCs w:val="22"/>
        </w:rPr>
        <w:t xml:space="preserve"> relatif au régime urbain.</w:t>
      </w:r>
    </w:p>
    <w:p w:rsidR="0051702F" w:rsidRPr="00A42BE9" w:rsidRDefault="0051702F" w:rsidP="0051702F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 xml:space="preserve">Le programme pluriannuel </w:t>
      </w:r>
      <w:r>
        <w:rPr>
          <w:rFonts w:ascii="Calibri" w:hAnsi="Calibri" w:cs="Calibri"/>
          <w:sz w:val="22"/>
          <w:szCs w:val="22"/>
        </w:rPr>
        <w:t xml:space="preserve">qui s’appliquera, au regard </w:t>
      </w:r>
      <w:r w:rsidRPr="00A42BE9">
        <w:rPr>
          <w:rFonts w:ascii="Calibri" w:hAnsi="Calibri" w:cs="Calibri"/>
          <w:sz w:val="22"/>
          <w:szCs w:val="22"/>
        </w:rPr>
        <w:t xml:space="preserve">du régime de concession (rural ou urbain), au contrat a été établi pour une période de </w:t>
      </w:r>
      <w:r w:rsidR="00A42BE9" w:rsidRPr="00A42BE9">
        <w:rPr>
          <w:rFonts w:ascii="Calibri" w:hAnsi="Calibri" w:cs="Calibri"/>
          <w:sz w:val="22"/>
          <w:szCs w:val="22"/>
        </w:rPr>
        <w:t>5</w:t>
      </w:r>
      <w:r w:rsidRPr="00A42BE9">
        <w:rPr>
          <w:rFonts w:ascii="Calibri" w:hAnsi="Calibri" w:cs="Calibri"/>
          <w:sz w:val="22"/>
          <w:szCs w:val="22"/>
        </w:rPr>
        <w:t xml:space="preserve"> ans, allant du </w:t>
      </w:r>
      <w:r w:rsidR="008B727C">
        <w:rPr>
          <w:rFonts w:ascii="Calibri" w:hAnsi="Calibri" w:cs="Calibri"/>
          <w:sz w:val="22"/>
          <w:szCs w:val="22"/>
        </w:rPr>
        <w:t>1</w:t>
      </w:r>
      <w:r w:rsidR="008B727C" w:rsidRPr="008B727C">
        <w:rPr>
          <w:rFonts w:ascii="Calibri" w:hAnsi="Calibri" w:cs="Calibri"/>
          <w:sz w:val="22"/>
          <w:szCs w:val="22"/>
          <w:vertAlign w:val="superscript"/>
        </w:rPr>
        <w:t>er</w:t>
      </w:r>
      <w:r w:rsidR="008B727C">
        <w:rPr>
          <w:rFonts w:ascii="Calibri" w:hAnsi="Calibri" w:cs="Calibri"/>
          <w:sz w:val="22"/>
          <w:szCs w:val="22"/>
        </w:rPr>
        <w:t xml:space="preserve"> janvier </w:t>
      </w:r>
      <w:r w:rsidRPr="00A42BE9">
        <w:rPr>
          <w:rFonts w:ascii="Calibri" w:hAnsi="Calibri" w:cs="Calibri"/>
          <w:sz w:val="22"/>
          <w:szCs w:val="22"/>
        </w:rPr>
        <w:t>2021 au 31</w:t>
      </w:r>
      <w:r w:rsidR="008B727C">
        <w:rPr>
          <w:rFonts w:ascii="Calibri" w:hAnsi="Calibri" w:cs="Calibri"/>
          <w:sz w:val="22"/>
          <w:szCs w:val="22"/>
        </w:rPr>
        <w:t xml:space="preserve"> décembre </w:t>
      </w:r>
      <w:r w:rsidRPr="00A42BE9">
        <w:rPr>
          <w:rFonts w:ascii="Calibri" w:hAnsi="Calibri" w:cs="Calibri"/>
          <w:sz w:val="22"/>
          <w:szCs w:val="22"/>
        </w:rPr>
        <w:t>202</w:t>
      </w:r>
      <w:r w:rsidR="00A42BE9" w:rsidRPr="00A42BE9">
        <w:rPr>
          <w:rFonts w:ascii="Calibri" w:hAnsi="Calibri" w:cs="Calibri"/>
          <w:sz w:val="22"/>
          <w:szCs w:val="22"/>
        </w:rPr>
        <w:t>5</w:t>
      </w:r>
      <w:r w:rsidRPr="00A42BE9">
        <w:rPr>
          <w:rFonts w:ascii="Calibri" w:hAnsi="Calibri" w:cs="Calibri"/>
          <w:sz w:val="22"/>
          <w:szCs w:val="22"/>
        </w:rPr>
        <w:t>.</w:t>
      </w:r>
    </w:p>
    <w:p w:rsidR="0051702F" w:rsidRPr="00A42BE9" w:rsidRDefault="0051702F" w:rsidP="0051702F">
      <w:pPr>
        <w:jc w:val="both"/>
        <w:rPr>
          <w:rFonts w:ascii="Calibri" w:hAnsi="Calibri" w:cs="Calibri"/>
          <w:sz w:val="22"/>
          <w:szCs w:val="22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A42BE9">
        <w:rPr>
          <w:rFonts w:ascii="Calibri" w:hAnsi="Calibri" w:cs="Calibri"/>
          <w:sz w:val="22"/>
          <w:szCs w:val="22"/>
        </w:rPr>
        <w:t>En application de l’article 11 du cahier des charges de concession, il est établi de façon</w:t>
      </w:r>
      <w:r w:rsidRPr="0032710C">
        <w:rPr>
          <w:rFonts w:ascii="Calibri" w:hAnsi="Calibri" w:cs="Calibri"/>
          <w:sz w:val="22"/>
          <w:szCs w:val="22"/>
        </w:rPr>
        <w:t xml:space="preserve"> concertée par le gestionnaire de réseau de distribution et l’autorité concédante, à partir du diagnostic technique et des ambitions portées par le schéma directeur des investissements de la concession.</w:t>
      </w:r>
    </w:p>
    <w:p w:rsidR="00580202" w:rsidRPr="00337D0F" w:rsidRDefault="00580202" w:rsidP="00580202">
      <w:pPr>
        <w:jc w:val="both"/>
        <w:rPr>
          <w:rFonts w:ascii="Calibri" w:hAnsi="Calibri" w:cs="Calibri"/>
          <w:sz w:val="10"/>
          <w:szCs w:val="10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>Le programme pluriannuel définit les priorités de la période </w:t>
      </w:r>
      <w:r>
        <w:rPr>
          <w:rFonts w:ascii="Calibri" w:hAnsi="Calibri" w:cs="Calibri"/>
          <w:sz w:val="22"/>
          <w:szCs w:val="22"/>
        </w:rPr>
        <w:t>s</w:t>
      </w:r>
      <w:r w:rsidRPr="0032710C">
        <w:rPr>
          <w:rFonts w:ascii="Calibri" w:hAnsi="Calibri" w:cs="Calibri"/>
          <w:sz w:val="22"/>
          <w:szCs w:val="22"/>
        </w:rPr>
        <w:t xml:space="preserve">ur </w:t>
      </w:r>
      <w:r>
        <w:rPr>
          <w:rFonts w:ascii="Calibri" w:hAnsi="Calibri" w:cs="Calibri"/>
          <w:sz w:val="22"/>
          <w:szCs w:val="22"/>
        </w:rPr>
        <w:t>le</w:t>
      </w:r>
      <w:r w:rsidRPr="0032710C">
        <w:rPr>
          <w:rFonts w:ascii="Calibri" w:hAnsi="Calibri" w:cs="Calibri"/>
          <w:sz w:val="22"/>
          <w:szCs w:val="22"/>
        </w:rPr>
        <w:t xml:space="preserve"> territoire de la concession,</w:t>
      </w:r>
      <w:r>
        <w:rPr>
          <w:rFonts w:ascii="Calibri" w:hAnsi="Calibri" w:cs="Calibri"/>
          <w:sz w:val="22"/>
          <w:szCs w:val="22"/>
        </w:rPr>
        <w:t xml:space="preserve"> a</w:t>
      </w:r>
      <w:r w:rsidRPr="0032710C">
        <w:rPr>
          <w:rFonts w:ascii="Calibri" w:hAnsi="Calibri" w:cs="Calibri"/>
          <w:sz w:val="22"/>
          <w:szCs w:val="22"/>
        </w:rPr>
        <w:t>vec des quantités d’ouvrages à renouveler, moderniser, renforcer ou construire pour les besoins de développement du réseau.</w:t>
      </w:r>
    </w:p>
    <w:p w:rsidR="00580202" w:rsidRPr="00337D0F" w:rsidRDefault="00580202" w:rsidP="00580202">
      <w:pPr>
        <w:jc w:val="both"/>
        <w:rPr>
          <w:rFonts w:ascii="Calibri" w:hAnsi="Calibri" w:cs="Calibri"/>
          <w:sz w:val="10"/>
          <w:szCs w:val="10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>Il intègre les réalisations du gestionnaire de réseau de distribution et de l’autorité concédante, par catégorie d’ouvrages, en fonction de la répartition de la maîtrise d’ouvrage retenue dans l’annexe 1 du cahier des charges de concession.</w:t>
      </w:r>
    </w:p>
    <w:p w:rsidR="00580202" w:rsidRPr="00337D0F" w:rsidRDefault="00580202" w:rsidP="00580202">
      <w:pPr>
        <w:jc w:val="both"/>
        <w:rPr>
          <w:rFonts w:ascii="Calibri" w:hAnsi="Calibri" w:cs="Calibri"/>
          <w:sz w:val="10"/>
          <w:szCs w:val="10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 xml:space="preserve">Il fait l’objet d’un engagement financier du gestionnaire de réseau de distribution sur </w:t>
      </w:r>
      <w:r w:rsidR="003274FE" w:rsidRPr="003274FE">
        <w:rPr>
          <w:rFonts w:ascii="Calibri" w:hAnsi="Calibri" w:cs="Calibri"/>
          <w:sz w:val="22"/>
          <w:szCs w:val="22"/>
        </w:rPr>
        <w:t>le montant total du programme pluri annuel d’investissement pour la période de 5 ans</w:t>
      </w:r>
      <w:r w:rsidRPr="00A42BE9">
        <w:rPr>
          <w:rFonts w:ascii="Calibri" w:hAnsi="Calibri" w:cs="Calibri"/>
          <w:sz w:val="22"/>
          <w:szCs w:val="22"/>
        </w:rPr>
        <w:t>.</w:t>
      </w:r>
    </w:p>
    <w:p w:rsidR="00580202" w:rsidRPr="00337D0F" w:rsidRDefault="00580202" w:rsidP="00580202">
      <w:pPr>
        <w:jc w:val="both"/>
        <w:rPr>
          <w:rFonts w:ascii="Calibri" w:hAnsi="Calibri" w:cs="Calibri"/>
          <w:sz w:val="10"/>
          <w:szCs w:val="10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>Il sera décliné chaque année dans des programmes annuels.</w:t>
      </w:r>
    </w:p>
    <w:p w:rsidR="00580202" w:rsidRPr="00337D0F" w:rsidRDefault="00580202" w:rsidP="00580202">
      <w:pPr>
        <w:jc w:val="both"/>
        <w:rPr>
          <w:rFonts w:ascii="Calibri" w:hAnsi="Calibri" w:cs="Calibri"/>
          <w:sz w:val="10"/>
          <w:szCs w:val="10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 xml:space="preserve">Le programme pluriannuel portant sur des </w:t>
      </w:r>
      <w:r>
        <w:rPr>
          <w:rFonts w:ascii="Calibri" w:hAnsi="Calibri" w:cs="Calibri"/>
          <w:sz w:val="22"/>
          <w:szCs w:val="22"/>
        </w:rPr>
        <w:t>investissements identifié</w:t>
      </w:r>
      <w:r w:rsidRPr="0032710C">
        <w:rPr>
          <w:rFonts w:ascii="Calibri" w:hAnsi="Calibri" w:cs="Calibri"/>
          <w:sz w:val="22"/>
          <w:szCs w:val="22"/>
        </w:rPr>
        <w:t>s comme prioritaires, il ne représente pas l’intégralité des investissements à venir sur la concession, en terme</w:t>
      </w:r>
      <w:r w:rsidRPr="00CB6403">
        <w:rPr>
          <w:rFonts w:ascii="Calibri" w:hAnsi="Calibri" w:cs="Calibri"/>
          <w:sz w:val="22"/>
          <w:szCs w:val="22"/>
        </w:rPr>
        <w:t>s</w:t>
      </w:r>
      <w:r w:rsidRPr="0032710C">
        <w:rPr>
          <w:rFonts w:ascii="Calibri" w:hAnsi="Calibri" w:cs="Calibri"/>
          <w:sz w:val="22"/>
          <w:szCs w:val="22"/>
        </w:rPr>
        <w:t xml:space="preserve"> de localisation et de volume.</w:t>
      </w:r>
      <w:r>
        <w:rPr>
          <w:rFonts w:ascii="Calibri" w:hAnsi="Calibri" w:cs="Calibri"/>
          <w:sz w:val="22"/>
          <w:szCs w:val="22"/>
        </w:rPr>
        <w:t xml:space="preserve"> </w:t>
      </w:r>
      <w:r w:rsidRPr="0032710C">
        <w:rPr>
          <w:rFonts w:ascii="Calibri" w:hAnsi="Calibri" w:cs="Calibri"/>
          <w:sz w:val="22"/>
          <w:szCs w:val="22"/>
        </w:rPr>
        <w:t>Il ne préjuge pas notamment des investissements liés aux opérations de raccordement.</w:t>
      </w:r>
    </w:p>
    <w:p w:rsidR="00580202" w:rsidRPr="00337D0F" w:rsidRDefault="00580202" w:rsidP="00580202">
      <w:pPr>
        <w:jc w:val="both"/>
        <w:rPr>
          <w:rFonts w:ascii="Calibri" w:hAnsi="Calibri" w:cs="Calibri"/>
          <w:sz w:val="10"/>
          <w:szCs w:val="10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>Les modalités de mise en œuvre et d’évaluation du programme pluriannuel sont définies à l’article 11 du cahier des charges de concession</w:t>
      </w:r>
      <w:r>
        <w:rPr>
          <w:rFonts w:ascii="Calibri" w:hAnsi="Calibri" w:cs="Calibri"/>
          <w:sz w:val="22"/>
          <w:szCs w:val="22"/>
        </w:rPr>
        <w:t>.</w:t>
      </w:r>
    </w:p>
    <w:p w:rsidR="00580202" w:rsidRPr="00337D0F" w:rsidRDefault="00580202" w:rsidP="00580202">
      <w:pPr>
        <w:jc w:val="both"/>
        <w:rPr>
          <w:rFonts w:ascii="Calibri" w:hAnsi="Calibri" w:cs="Calibri"/>
          <w:sz w:val="10"/>
          <w:szCs w:val="10"/>
        </w:rPr>
      </w:pPr>
    </w:p>
    <w:p w:rsidR="00580202" w:rsidRPr="0032710C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32710C">
        <w:rPr>
          <w:rFonts w:ascii="Calibri" w:hAnsi="Calibri" w:cs="Calibri"/>
          <w:sz w:val="22"/>
          <w:szCs w:val="22"/>
        </w:rPr>
        <w:t>La présente annexe 2B reprend ces modalités.</w:t>
      </w:r>
    </w:p>
    <w:p w:rsidR="00580202" w:rsidRDefault="00580202" w:rsidP="00580202">
      <w:pPr>
        <w:jc w:val="both"/>
        <w:rPr>
          <w:rFonts w:ascii="Arial" w:hAnsi="Arial" w:cs="Arial"/>
        </w:rPr>
      </w:pPr>
    </w:p>
    <w:p w:rsidR="00580202" w:rsidRPr="00A42BE9" w:rsidRDefault="00580202" w:rsidP="00580202">
      <w:pPr>
        <w:pStyle w:val="Titre1"/>
        <w:spacing w:before="0"/>
        <w:rPr>
          <w:rFonts w:ascii="Calibri" w:hAnsi="Calibri" w:cs="Calibri"/>
          <w:color w:val="auto"/>
          <w:sz w:val="24"/>
          <w:szCs w:val="24"/>
          <w:u w:val="single"/>
        </w:rPr>
      </w:pPr>
      <w:bookmarkStart w:id="2" w:name="_Toc498975518"/>
      <w:r w:rsidRPr="00443642">
        <w:rPr>
          <w:rFonts w:ascii="Calibri" w:hAnsi="Calibri" w:cs="Calibri"/>
          <w:color w:val="auto"/>
          <w:sz w:val="24"/>
          <w:szCs w:val="24"/>
          <w:u w:val="single"/>
        </w:rPr>
        <w:t>Programme pluriannuel d’investissements</w:t>
      </w:r>
      <w:bookmarkEnd w:id="2"/>
      <w:r w:rsidR="00510AD5">
        <w:rPr>
          <w:rFonts w:ascii="Calibri" w:hAnsi="Calibri" w:cs="Calibri"/>
          <w:color w:val="auto"/>
          <w:sz w:val="24"/>
          <w:szCs w:val="24"/>
          <w:u w:val="single"/>
        </w:rPr>
        <w:t xml:space="preserve"> </w:t>
      </w:r>
      <w:r w:rsidR="00510AD5" w:rsidRPr="00A42BE9">
        <w:rPr>
          <w:rFonts w:ascii="Calibri" w:hAnsi="Calibri" w:cs="Calibri"/>
          <w:color w:val="auto"/>
          <w:sz w:val="24"/>
          <w:szCs w:val="24"/>
          <w:u w:val="single"/>
        </w:rPr>
        <w:t>2021</w:t>
      </w:r>
      <w:r w:rsidR="00414E34" w:rsidRPr="00A42BE9">
        <w:rPr>
          <w:rFonts w:ascii="Calibri" w:hAnsi="Calibri" w:cs="Calibri"/>
          <w:color w:val="auto"/>
          <w:sz w:val="24"/>
          <w:szCs w:val="24"/>
          <w:u w:val="single"/>
        </w:rPr>
        <w:t xml:space="preserve"> à 202</w:t>
      </w:r>
      <w:r w:rsidR="00A42BE9" w:rsidRPr="00A42BE9">
        <w:rPr>
          <w:rFonts w:ascii="Calibri" w:hAnsi="Calibri" w:cs="Calibri"/>
          <w:color w:val="auto"/>
          <w:sz w:val="24"/>
          <w:szCs w:val="24"/>
          <w:u w:val="single"/>
        </w:rPr>
        <w:t>5</w:t>
      </w:r>
      <w:r w:rsidR="00414E34" w:rsidRPr="00A42BE9">
        <w:rPr>
          <w:rFonts w:ascii="Calibri" w:hAnsi="Calibri" w:cs="Calibri"/>
          <w:color w:val="auto"/>
          <w:sz w:val="24"/>
          <w:szCs w:val="24"/>
          <w:u w:val="single"/>
        </w:rPr>
        <w:t> :</w:t>
      </w:r>
    </w:p>
    <w:p w:rsidR="00414E34" w:rsidRPr="00A42BE9" w:rsidRDefault="00414E34" w:rsidP="00414E34"/>
    <w:p w:rsidR="00414E34" w:rsidRPr="00A42BE9" w:rsidRDefault="00414E34" w:rsidP="00414E34">
      <w:pPr>
        <w:pStyle w:val="Corpsdetexte21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A42BE9">
        <w:rPr>
          <w:rFonts w:ascii="Calibri" w:hAnsi="Calibri" w:cs="Calibri"/>
          <w:sz w:val="22"/>
          <w:szCs w:val="22"/>
        </w:rPr>
        <w:t xml:space="preserve">PPI du gestionnaire du réseau de distribution </w:t>
      </w:r>
      <w:r w:rsidR="00C45308">
        <w:rPr>
          <w:rFonts w:ascii="Calibri" w:hAnsi="Calibri" w:cs="Calibri"/>
          <w:sz w:val="22"/>
          <w:szCs w:val="22"/>
        </w:rPr>
        <w:t>portant majoritairement sur</w:t>
      </w:r>
      <w:r w:rsidRPr="00A42BE9">
        <w:rPr>
          <w:rFonts w:ascii="Calibri" w:hAnsi="Calibri" w:cs="Calibri"/>
          <w:sz w:val="22"/>
          <w:szCs w:val="22"/>
        </w:rPr>
        <w:t xml:space="preserve"> les zones prioritaires identifiées</w:t>
      </w:r>
      <w:r w:rsidR="00074109">
        <w:rPr>
          <w:rFonts w:ascii="Calibri" w:hAnsi="Calibri" w:cs="Calibri"/>
          <w:sz w:val="22"/>
          <w:szCs w:val="22"/>
        </w:rPr>
        <w:t> :</w:t>
      </w:r>
    </w:p>
    <w:p w:rsidR="00580202" w:rsidRPr="00A42BE9" w:rsidRDefault="00580202" w:rsidP="00414E34">
      <w:pPr>
        <w:rPr>
          <w:rFonts w:ascii="Calibri" w:hAnsi="Calibri" w:cs="Calibri"/>
          <w:sz w:val="22"/>
          <w:szCs w:val="22"/>
        </w:rPr>
      </w:pPr>
    </w:p>
    <w:p w:rsidR="00580202" w:rsidRPr="00414E34" w:rsidRDefault="00580202" w:rsidP="00414E34">
      <w:pPr>
        <w:pStyle w:val="Corpsdetexte21"/>
        <w:jc w:val="both"/>
        <w:rPr>
          <w:rFonts w:ascii="Calibri" w:hAnsi="Calibri" w:cs="Calibri"/>
          <w:sz w:val="22"/>
          <w:szCs w:val="22"/>
        </w:rPr>
      </w:pPr>
      <w:r w:rsidRPr="00A42BE9">
        <w:rPr>
          <w:rFonts w:ascii="Calibri" w:hAnsi="Calibri" w:cs="Calibri"/>
          <w:b w:val="0"/>
          <w:sz w:val="22"/>
          <w:szCs w:val="22"/>
        </w:rPr>
        <w:t>Ce paragraphe précise le niveau d’ambition du Programme P</w:t>
      </w:r>
      <w:r w:rsidR="001326F6" w:rsidRPr="00A42BE9">
        <w:rPr>
          <w:rFonts w:ascii="Calibri" w:hAnsi="Calibri" w:cs="Calibri"/>
          <w:b w:val="0"/>
          <w:sz w:val="22"/>
          <w:szCs w:val="22"/>
        </w:rPr>
        <w:t>luriannuel d’Investissements 202</w:t>
      </w:r>
      <w:r w:rsidR="00510AD5" w:rsidRPr="00A42BE9">
        <w:rPr>
          <w:rFonts w:ascii="Calibri" w:hAnsi="Calibri" w:cs="Calibri"/>
          <w:b w:val="0"/>
          <w:sz w:val="22"/>
          <w:szCs w:val="22"/>
        </w:rPr>
        <w:t>1</w:t>
      </w:r>
      <w:r w:rsidRPr="00A42BE9">
        <w:rPr>
          <w:rFonts w:ascii="Calibri" w:hAnsi="Calibri" w:cs="Calibri"/>
          <w:b w:val="0"/>
          <w:sz w:val="22"/>
          <w:szCs w:val="22"/>
        </w:rPr>
        <w:t>-202</w:t>
      </w:r>
      <w:r w:rsidR="00A42BE9" w:rsidRPr="00A42BE9">
        <w:rPr>
          <w:rFonts w:ascii="Calibri" w:hAnsi="Calibri" w:cs="Calibri"/>
          <w:b w:val="0"/>
          <w:sz w:val="22"/>
          <w:szCs w:val="22"/>
        </w:rPr>
        <w:t>5</w:t>
      </w:r>
      <w:r w:rsidRPr="00A42BE9">
        <w:rPr>
          <w:rFonts w:ascii="Calibri" w:hAnsi="Calibri" w:cs="Calibri"/>
          <w:b w:val="0"/>
          <w:sz w:val="22"/>
          <w:szCs w:val="22"/>
        </w:rPr>
        <w:t xml:space="preserve"> pour chacun des leviers d’actions identifié dans le Schéma Directeur des Investissements</w:t>
      </w:r>
      <w:r w:rsidR="00414E34" w:rsidRPr="00A42BE9">
        <w:rPr>
          <w:rFonts w:ascii="Calibri" w:hAnsi="Calibri" w:cs="Calibri"/>
          <w:b w:val="0"/>
          <w:sz w:val="22"/>
          <w:szCs w:val="22"/>
        </w:rPr>
        <w:t xml:space="preserve"> du gestionnaire du réseau de distribution pour la période 202</w:t>
      </w:r>
      <w:r w:rsidR="00A43541" w:rsidRPr="00A42BE9">
        <w:rPr>
          <w:rFonts w:ascii="Calibri" w:hAnsi="Calibri" w:cs="Calibri"/>
          <w:b w:val="0"/>
          <w:sz w:val="22"/>
          <w:szCs w:val="22"/>
        </w:rPr>
        <w:t>1</w:t>
      </w:r>
      <w:r w:rsidR="00414E34" w:rsidRPr="00A42BE9">
        <w:rPr>
          <w:rFonts w:ascii="Calibri" w:hAnsi="Calibri" w:cs="Calibri"/>
          <w:b w:val="0"/>
          <w:sz w:val="22"/>
          <w:szCs w:val="22"/>
        </w:rPr>
        <w:t>-202</w:t>
      </w:r>
      <w:r w:rsidR="00A42BE9" w:rsidRPr="00A42BE9">
        <w:rPr>
          <w:rFonts w:ascii="Calibri" w:hAnsi="Calibri" w:cs="Calibri"/>
          <w:b w:val="0"/>
          <w:sz w:val="22"/>
          <w:szCs w:val="22"/>
        </w:rPr>
        <w:t>5</w:t>
      </w:r>
      <w:r w:rsidR="00414E34" w:rsidRPr="00A42BE9">
        <w:rPr>
          <w:rFonts w:ascii="Calibri" w:hAnsi="Calibri" w:cs="Calibri"/>
          <w:b w:val="0"/>
          <w:sz w:val="22"/>
          <w:szCs w:val="22"/>
        </w:rPr>
        <w:t xml:space="preserve"> </w:t>
      </w:r>
      <w:r w:rsidR="00C45308">
        <w:rPr>
          <w:rFonts w:ascii="Calibri" w:hAnsi="Calibri" w:cs="Calibri"/>
          <w:b w:val="0"/>
          <w:sz w:val="22"/>
          <w:szCs w:val="22"/>
        </w:rPr>
        <w:t>portant majoritairement sur</w:t>
      </w:r>
      <w:r w:rsidR="00414E34" w:rsidRPr="00A42BE9">
        <w:rPr>
          <w:rFonts w:ascii="Calibri" w:hAnsi="Calibri" w:cs="Calibri"/>
          <w:b w:val="0"/>
          <w:sz w:val="22"/>
          <w:szCs w:val="22"/>
        </w:rPr>
        <w:t xml:space="preserve"> les</w:t>
      </w:r>
      <w:r w:rsidR="00414E34" w:rsidRPr="00414E34">
        <w:rPr>
          <w:rFonts w:ascii="Calibri" w:hAnsi="Calibri" w:cs="Calibri"/>
          <w:b w:val="0"/>
          <w:sz w:val="22"/>
          <w:szCs w:val="22"/>
        </w:rPr>
        <w:t xml:space="preserve"> zones prioritaires identifiées</w:t>
      </w:r>
    </w:p>
    <w:p w:rsidR="00580202" w:rsidRDefault="00580202" w:rsidP="00580202">
      <w:pPr>
        <w:jc w:val="both"/>
        <w:rPr>
          <w:rFonts w:ascii="Calibri" w:hAnsi="Calibri" w:cs="Calibri"/>
          <w:sz w:val="22"/>
          <w:szCs w:val="22"/>
        </w:rPr>
      </w:pPr>
    </w:p>
    <w:p w:rsidR="00580202" w:rsidRPr="002D41A3" w:rsidRDefault="00580202" w:rsidP="00580202">
      <w:pPr>
        <w:jc w:val="both"/>
        <w:rPr>
          <w:rFonts w:ascii="Calibri" w:hAnsi="Calibri" w:cs="Calibri"/>
          <w:strike/>
          <w:color w:val="FF0000"/>
          <w:sz w:val="22"/>
          <w:szCs w:val="22"/>
        </w:rPr>
      </w:pPr>
      <w:r w:rsidRPr="00580202">
        <w:rPr>
          <w:rFonts w:ascii="Calibri" w:hAnsi="Calibri" w:cs="Calibri"/>
          <w:color w:val="000000"/>
          <w:sz w:val="22"/>
          <w:szCs w:val="22"/>
        </w:rPr>
        <w:t>Les quantités affichées pour chaque programme sont des quantités repères et ne constituent pas des engagements du distributeur</w:t>
      </w:r>
      <w:r w:rsidR="003916CD">
        <w:rPr>
          <w:rFonts w:ascii="Calibri" w:hAnsi="Calibri" w:cs="Calibri"/>
          <w:color w:val="000000"/>
          <w:sz w:val="22"/>
          <w:szCs w:val="22"/>
        </w:rPr>
        <w:t>.</w:t>
      </w:r>
    </w:p>
    <w:p w:rsidR="00A43541" w:rsidRDefault="00A43541" w:rsidP="00580202">
      <w:pPr>
        <w:rPr>
          <w:rFonts w:ascii="Calibri" w:hAnsi="Calibri" w:cs="Calibri"/>
          <w:sz w:val="22"/>
          <w:szCs w:val="22"/>
        </w:rPr>
      </w:pPr>
    </w:p>
    <w:p w:rsidR="00323133" w:rsidRDefault="00323133" w:rsidP="00580202">
      <w:pPr>
        <w:rPr>
          <w:rFonts w:ascii="Calibri" w:hAnsi="Calibri" w:cs="Calibri"/>
          <w:sz w:val="22"/>
          <w:szCs w:val="22"/>
        </w:rPr>
      </w:pPr>
    </w:p>
    <w:p w:rsidR="00323133" w:rsidRDefault="00323133" w:rsidP="0058020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866"/>
      </w:tblGrid>
      <w:tr w:rsidR="00580202" w:rsidRPr="00C726CB" w:rsidTr="00A97FA8">
        <w:trPr>
          <w:jc w:val="center"/>
        </w:trPr>
        <w:tc>
          <w:tcPr>
            <w:tcW w:w="6629" w:type="dxa"/>
          </w:tcPr>
          <w:p w:rsidR="00580202" w:rsidRPr="00CB6403" w:rsidRDefault="00580202" w:rsidP="0058020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B6403">
              <w:rPr>
                <w:rFonts w:ascii="Calibri" w:hAnsi="Calibri" w:cs="Calibri"/>
                <w:b/>
                <w:sz w:val="22"/>
                <w:szCs w:val="22"/>
              </w:rPr>
              <w:t>Levier</w:t>
            </w:r>
            <w:r w:rsidR="009F140C">
              <w:rPr>
                <w:rFonts w:ascii="Calibri" w:hAnsi="Calibri" w:cs="Calibri"/>
                <w:b/>
                <w:sz w:val="22"/>
                <w:szCs w:val="22"/>
              </w:rPr>
              <w:t>s</w:t>
            </w:r>
          </w:p>
        </w:tc>
        <w:tc>
          <w:tcPr>
            <w:tcW w:w="2866" w:type="dxa"/>
          </w:tcPr>
          <w:p w:rsidR="00580202" w:rsidRPr="00CB6403" w:rsidRDefault="00580202" w:rsidP="009F140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B6403">
              <w:rPr>
                <w:rFonts w:ascii="Calibri" w:hAnsi="Calibri" w:cs="Calibri"/>
                <w:b/>
                <w:sz w:val="22"/>
                <w:szCs w:val="22"/>
              </w:rPr>
              <w:t>Quantité</w:t>
            </w:r>
            <w:r w:rsidR="009F140C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CB640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E451AF" w:rsidRPr="00C726CB" w:rsidTr="00A97FA8">
        <w:trPr>
          <w:jc w:val="center"/>
        </w:trPr>
        <w:tc>
          <w:tcPr>
            <w:tcW w:w="9495" w:type="dxa"/>
            <w:gridSpan w:val="2"/>
          </w:tcPr>
          <w:p w:rsidR="00E451AF" w:rsidRPr="008C1B90" w:rsidRDefault="00E451AF" w:rsidP="008F204F">
            <w:pPr>
              <w:rPr>
                <w:rFonts w:ascii="Calibri" w:hAnsi="Calibri" w:cs="Calibri"/>
                <w:sz w:val="22"/>
                <w:szCs w:val="22"/>
              </w:rPr>
            </w:pPr>
            <w:r w:rsidRPr="008C1B90">
              <w:rPr>
                <w:rFonts w:ascii="Calibri" w:eastAsia="Gill Sans MT" w:hAnsi="Calibri" w:cs="Arial"/>
                <w:b/>
              </w:rPr>
              <w:t xml:space="preserve">Ambition  : </w:t>
            </w:r>
            <w:r w:rsidR="008F204F">
              <w:rPr>
                <w:rFonts w:ascii="Calibri" w:hAnsi="Calibri" w:cs="Arial"/>
                <w:b/>
                <w:bCs/>
              </w:rPr>
              <w:t>C</w:t>
            </w:r>
            <w:r w:rsidRPr="008C1B90">
              <w:rPr>
                <w:rFonts w:ascii="Calibri" w:hAnsi="Calibri" w:cs="Arial"/>
                <w:b/>
                <w:bCs/>
              </w:rPr>
              <w:t>onforter la résilience du réseau de distribution face à l’aléa climatique et au risque inondation </w:t>
            </w:r>
          </w:p>
        </w:tc>
      </w:tr>
      <w:tr w:rsidR="00580202" w:rsidRPr="00C726CB" w:rsidTr="00A97FA8">
        <w:trPr>
          <w:jc w:val="center"/>
        </w:trPr>
        <w:tc>
          <w:tcPr>
            <w:tcW w:w="6629" w:type="dxa"/>
          </w:tcPr>
          <w:p w:rsidR="00580202" w:rsidRPr="00CB6403" w:rsidRDefault="009F140C" w:rsidP="009F140C">
            <w:pPr>
              <w:pStyle w:val="Normal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Traiter le risque c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>limatique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et fiabiliser le réseau HTA aérien </w:t>
            </w:r>
            <w:r w:rsidRPr="009F140C">
              <w:rPr>
                <w:rFonts w:ascii="Calibri" w:hAnsi="Calibri" w:cs="Calibri"/>
                <w:sz w:val="22"/>
                <w:szCs w:val="22"/>
              </w:rPr>
              <w:t>(PDV, P</w:t>
            </w:r>
            <w:r w:rsidR="0068068F">
              <w:rPr>
                <w:rFonts w:ascii="Calibri" w:hAnsi="Calibri" w:cs="Calibri"/>
                <w:sz w:val="22"/>
                <w:szCs w:val="22"/>
              </w:rPr>
              <w:t>AC, renouvellement HTA aérien) </w:t>
            </w:r>
          </w:p>
        </w:tc>
        <w:tc>
          <w:tcPr>
            <w:tcW w:w="2866" w:type="dxa"/>
            <w:vAlign w:val="center"/>
          </w:tcPr>
          <w:p w:rsidR="00580202" w:rsidRPr="00CB6403" w:rsidRDefault="008F204F" w:rsidP="00744F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83</w:t>
            </w:r>
            <w:r w:rsidR="006806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>km</w:t>
            </w:r>
            <w:r w:rsidR="009F140C">
              <w:rPr>
                <w:rFonts w:ascii="Calibri" w:hAnsi="Calibri" w:cs="Calibri"/>
                <w:sz w:val="22"/>
                <w:szCs w:val="22"/>
              </w:rPr>
              <w:t>s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 xml:space="preserve">  traités</w:t>
            </w:r>
          </w:p>
        </w:tc>
      </w:tr>
      <w:tr w:rsidR="00580202" w:rsidRPr="00C726CB" w:rsidTr="00A97FA8">
        <w:trPr>
          <w:jc w:val="center"/>
        </w:trPr>
        <w:tc>
          <w:tcPr>
            <w:tcW w:w="6629" w:type="dxa"/>
          </w:tcPr>
          <w:p w:rsidR="00580202" w:rsidRPr="00CB6403" w:rsidRDefault="0068068F" w:rsidP="0068068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="009F140C" w:rsidRPr="0068068F">
              <w:rPr>
                <w:rFonts w:ascii="Calibri" w:hAnsi="Calibri" w:cs="Calibri"/>
                <w:sz w:val="22"/>
                <w:szCs w:val="22"/>
              </w:rPr>
              <w:t>enouvellement priorisé des lignes aériennes BT fi</w:t>
            </w:r>
            <w:r>
              <w:rPr>
                <w:rFonts w:ascii="Calibri" w:hAnsi="Calibri" w:cs="Calibri"/>
                <w:sz w:val="22"/>
                <w:szCs w:val="22"/>
              </w:rPr>
              <w:t>ls nus les plus incidentogènes </w:t>
            </w:r>
          </w:p>
        </w:tc>
        <w:tc>
          <w:tcPr>
            <w:tcW w:w="2866" w:type="dxa"/>
            <w:vAlign w:val="center"/>
          </w:tcPr>
          <w:p w:rsidR="00580202" w:rsidRPr="00CB6403" w:rsidRDefault="008F204F" w:rsidP="002E54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  <w:r w:rsidRPr="00CB640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>km</w:t>
            </w:r>
            <w:r w:rsidR="0068068F">
              <w:rPr>
                <w:rFonts w:ascii="Calibri" w:hAnsi="Calibri" w:cs="Calibri"/>
                <w:sz w:val="22"/>
                <w:szCs w:val="22"/>
              </w:rPr>
              <w:t>s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 xml:space="preserve"> déposés</w:t>
            </w:r>
          </w:p>
        </w:tc>
      </w:tr>
      <w:tr w:rsidR="00580202" w:rsidRPr="00C726CB" w:rsidTr="00A97FA8">
        <w:trPr>
          <w:jc w:val="center"/>
        </w:trPr>
        <w:tc>
          <w:tcPr>
            <w:tcW w:w="6629" w:type="dxa"/>
          </w:tcPr>
          <w:p w:rsidR="00580202" w:rsidRPr="0068068F" w:rsidRDefault="0068068F" w:rsidP="0068068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="009F140C" w:rsidRPr="0068068F">
              <w:rPr>
                <w:rFonts w:ascii="Calibri" w:hAnsi="Calibri" w:cs="Calibri"/>
                <w:sz w:val="22"/>
                <w:szCs w:val="22"/>
              </w:rPr>
              <w:t>enforcement de la réactivité grâce au développement et au maintien à niveau du parc d’or</w:t>
            </w:r>
            <w:r>
              <w:rPr>
                <w:rFonts w:ascii="Calibri" w:hAnsi="Calibri" w:cs="Calibri"/>
                <w:sz w:val="22"/>
                <w:szCs w:val="22"/>
              </w:rPr>
              <w:t>ganes de manœuvre télécommandés</w:t>
            </w:r>
          </w:p>
        </w:tc>
        <w:tc>
          <w:tcPr>
            <w:tcW w:w="2866" w:type="dxa"/>
            <w:vAlign w:val="center"/>
          </w:tcPr>
          <w:p w:rsidR="00580202" w:rsidRPr="00CB6403" w:rsidRDefault="008F204F" w:rsidP="001A2F55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1A2F5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8068F">
              <w:rPr>
                <w:rFonts w:ascii="Calibri" w:hAnsi="Calibri" w:cs="Calibri"/>
                <w:sz w:val="22"/>
                <w:szCs w:val="22"/>
              </w:rPr>
              <w:t>OMT</w:t>
            </w:r>
            <w:r w:rsidR="00E451AF">
              <w:rPr>
                <w:rFonts w:ascii="Calibri" w:hAnsi="Calibri" w:cs="Calibri"/>
                <w:sz w:val="22"/>
                <w:szCs w:val="22"/>
              </w:rPr>
              <w:t xml:space="preserve"> posés</w:t>
            </w:r>
          </w:p>
        </w:tc>
      </w:tr>
      <w:tr w:rsidR="00E451AF" w:rsidRPr="00C726CB" w:rsidTr="00A97FA8">
        <w:trPr>
          <w:jc w:val="center"/>
        </w:trPr>
        <w:tc>
          <w:tcPr>
            <w:tcW w:w="9495" w:type="dxa"/>
            <w:gridSpan w:val="2"/>
          </w:tcPr>
          <w:p w:rsidR="00E451AF" w:rsidRPr="008C1B90" w:rsidRDefault="00E451AF" w:rsidP="008F204F">
            <w:pPr>
              <w:rPr>
                <w:rFonts w:ascii="Calibri" w:eastAsia="Gill Sans MT" w:hAnsi="Calibri" w:cs="Arial"/>
                <w:b/>
              </w:rPr>
            </w:pPr>
            <w:r w:rsidRPr="008C1B90">
              <w:rPr>
                <w:rFonts w:ascii="Calibri" w:eastAsia="Gill Sans MT" w:hAnsi="Calibri" w:cs="Arial"/>
                <w:b/>
              </w:rPr>
              <w:t xml:space="preserve">Ambition  : </w:t>
            </w:r>
            <w:r w:rsidR="00086DB1" w:rsidRPr="008C1B90">
              <w:rPr>
                <w:rFonts w:ascii="Calibri" w:eastAsia="Gill Sans MT" w:hAnsi="Calibri" w:cs="Arial"/>
                <w:b/>
              </w:rPr>
              <w:t>maintenir durablement la performance des réseaux </w:t>
            </w:r>
          </w:p>
        </w:tc>
      </w:tr>
      <w:tr w:rsidR="00580202" w:rsidRPr="00C726CB" w:rsidTr="00A97FA8">
        <w:trPr>
          <w:jc w:val="center"/>
        </w:trPr>
        <w:tc>
          <w:tcPr>
            <w:tcW w:w="6629" w:type="dxa"/>
          </w:tcPr>
          <w:p w:rsidR="00580202" w:rsidRPr="00E451AF" w:rsidRDefault="00E451AF" w:rsidP="00E451AF">
            <w:pPr>
              <w:pStyle w:val="Paragraphedeliste"/>
              <w:spacing w:after="120"/>
              <w:ind w:left="0"/>
              <w:jc w:val="both"/>
              <w:rPr>
                <w:rFonts w:ascii="Arial" w:hAnsi="Arial" w:cs="Arial"/>
                <w:bCs/>
                <w:i/>
              </w:rPr>
            </w:pPr>
            <w:r w:rsidRPr="00E451AF">
              <w:rPr>
                <w:rFonts w:ascii="Calibri" w:hAnsi="Calibri" w:cs="Calibri"/>
                <w:sz w:val="22"/>
                <w:szCs w:val="22"/>
              </w:rPr>
              <w:t>Renouveler de manière priorisé les CPI HTA</w:t>
            </w:r>
            <w:r>
              <w:rPr>
                <w:rFonts w:ascii="Arial" w:hAnsi="Arial" w:cs="Arial"/>
                <w:bCs/>
                <w:i/>
              </w:rPr>
              <w:t> </w:t>
            </w:r>
          </w:p>
        </w:tc>
        <w:tc>
          <w:tcPr>
            <w:tcW w:w="2866" w:type="dxa"/>
            <w:vAlign w:val="center"/>
          </w:tcPr>
          <w:p w:rsidR="00580202" w:rsidRPr="00CB6403" w:rsidRDefault="008F204F" w:rsidP="002E54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E451A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>km</w:t>
            </w:r>
            <w:r w:rsidR="00E451AF">
              <w:rPr>
                <w:rFonts w:ascii="Calibri" w:hAnsi="Calibri" w:cs="Calibri"/>
                <w:sz w:val="22"/>
                <w:szCs w:val="22"/>
              </w:rPr>
              <w:t>s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 xml:space="preserve"> déposés</w:t>
            </w:r>
          </w:p>
        </w:tc>
      </w:tr>
      <w:tr w:rsidR="00580202" w:rsidRPr="00C726CB" w:rsidTr="00A97FA8">
        <w:trPr>
          <w:jc w:val="center"/>
        </w:trPr>
        <w:tc>
          <w:tcPr>
            <w:tcW w:w="6629" w:type="dxa"/>
          </w:tcPr>
          <w:p w:rsidR="00580202" w:rsidRPr="00CB6403" w:rsidRDefault="00E451AF" w:rsidP="00E451AF">
            <w:pPr>
              <w:pStyle w:val="Paragraphedeliste"/>
              <w:spacing w:after="120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E451AF">
              <w:rPr>
                <w:rFonts w:ascii="Calibri" w:hAnsi="Calibri" w:cs="Calibri"/>
                <w:sz w:val="22"/>
                <w:szCs w:val="22"/>
              </w:rPr>
              <w:t>enouveler de ma</w:t>
            </w:r>
            <w:r>
              <w:rPr>
                <w:rFonts w:ascii="Calibri" w:hAnsi="Calibri" w:cs="Calibri"/>
                <w:sz w:val="22"/>
                <w:szCs w:val="22"/>
              </w:rPr>
              <w:t>nière priorisé les CPI et NP BT</w:t>
            </w:r>
          </w:p>
        </w:tc>
        <w:tc>
          <w:tcPr>
            <w:tcW w:w="2866" w:type="dxa"/>
            <w:vAlign w:val="center"/>
          </w:tcPr>
          <w:p w:rsidR="00580202" w:rsidRPr="00CB6403" w:rsidRDefault="008F204F" w:rsidP="007C364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E451A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80202" w:rsidRPr="00CB640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451AF" w:rsidRPr="00CB6403">
              <w:rPr>
                <w:rFonts w:ascii="Calibri" w:hAnsi="Calibri" w:cs="Calibri"/>
                <w:sz w:val="22"/>
                <w:szCs w:val="22"/>
              </w:rPr>
              <w:t>km</w:t>
            </w:r>
            <w:r w:rsidR="00E451AF">
              <w:rPr>
                <w:rFonts w:ascii="Calibri" w:hAnsi="Calibri" w:cs="Calibri"/>
                <w:sz w:val="22"/>
                <w:szCs w:val="22"/>
              </w:rPr>
              <w:t>s</w:t>
            </w:r>
            <w:r w:rsidR="00E451AF" w:rsidRPr="00CB6403">
              <w:rPr>
                <w:rFonts w:ascii="Calibri" w:hAnsi="Calibri" w:cs="Calibri"/>
                <w:sz w:val="22"/>
                <w:szCs w:val="22"/>
              </w:rPr>
              <w:t xml:space="preserve"> déposés</w:t>
            </w:r>
          </w:p>
        </w:tc>
      </w:tr>
    </w:tbl>
    <w:p w:rsidR="00580202" w:rsidRDefault="00580202" w:rsidP="00580202">
      <w:pPr>
        <w:rPr>
          <w:rFonts w:ascii="Calibri" w:hAnsi="Calibri" w:cs="Calibri"/>
          <w:sz w:val="22"/>
          <w:szCs w:val="22"/>
        </w:rPr>
      </w:pPr>
    </w:p>
    <w:p w:rsidR="00414E34" w:rsidRPr="00414E34" w:rsidRDefault="00414E34" w:rsidP="00414E34"/>
    <w:p w:rsidR="00414E34" w:rsidRPr="0096350A" w:rsidRDefault="00414E34" w:rsidP="00414E34">
      <w:pPr>
        <w:pStyle w:val="Corpsdetexte21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6350A">
        <w:rPr>
          <w:rFonts w:ascii="Calibri" w:hAnsi="Calibri" w:cs="Calibri"/>
          <w:sz w:val="22"/>
          <w:szCs w:val="22"/>
        </w:rPr>
        <w:t>PPI du concédant sur les zones identifiées :</w:t>
      </w:r>
    </w:p>
    <w:p w:rsidR="00074109" w:rsidRDefault="00074109" w:rsidP="00074109">
      <w:pPr>
        <w:pStyle w:val="Corpsdetexte21"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074109" w:rsidRPr="00E01B12" w:rsidRDefault="00E01B12" w:rsidP="00074109">
      <w:pPr>
        <w:pStyle w:val="Corpsdetexte2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Les Parties </w:t>
      </w:r>
      <w:r w:rsidRPr="00E01B12">
        <w:rPr>
          <w:rFonts w:ascii="Calibri" w:hAnsi="Calibri" w:cs="Calibri"/>
          <w:sz w:val="22"/>
          <w:szCs w:val="22"/>
        </w:rPr>
        <w:t>conviennent</w:t>
      </w:r>
      <w:r>
        <w:rPr>
          <w:rFonts w:ascii="Calibri" w:hAnsi="Calibri" w:cs="Calibri"/>
          <w:sz w:val="22"/>
          <w:szCs w:val="22"/>
        </w:rPr>
        <w:t xml:space="preserve"> qu’</w:t>
      </w:r>
      <w:r w:rsidRPr="00E01B12">
        <w:rPr>
          <w:rFonts w:ascii="Calibri" w:hAnsi="Calibri" w:cs="Calibri"/>
          <w:sz w:val="22"/>
          <w:szCs w:val="22"/>
        </w:rPr>
        <w:t xml:space="preserve">en raison </w:t>
      </w:r>
      <w:r>
        <w:rPr>
          <w:rFonts w:ascii="Calibri" w:hAnsi="Calibri" w:cs="Calibri"/>
          <w:sz w:val="22"/>
          <w:szCs w:val="22"/>
        </w:rPr>
        <w:t>d</w:t>
      </w:r>
      <w:r w:rsidRPr="00E01B12">
        <w:rPr>
          <w:rFonts w:ascii="Calibri" w:hAnsi="Calibri" w:cs="Calibri"/>
          <w:sz w:val="22"/>
          <w:szCs w:val="22"/>
        </w:rPr>
        <w:t xml:space="preserve">u délai de </w:t>
      </w:r>
      <w:r>
        <w:rPr>
          <w:rFonts w:ascii="Calibri" w:hAnsi="Calibri" w:cs="Calibri"/>
          <w:sz w:val="22"/>
          <w:szCs w:val="22"/>
        </w:rPr>
        <w:t xml:space="preserve">notifications </w:t>
      </w:r>
      <w:r w:rsidRPr="00E01B12">
        <w:rPr>
          <w:rFonts w:ascii="Calibri" w:hAnsi="Calibri" w:cs="Calibri"/>
          <w:sz w:val="22"/>
          <w:szCs w:val="22"/>
        </w:rPr>
        <w:t xml:space="preserve">aux AODE </w:t>
      </w:r>
      <w:r>
        <w:rPr>
          <w:rFonts w:ascii="Calibri" w:hAnsi="Calibri" w:cs="Calibri"/>
          <w:sz w:val="22"/>
          <w:szCs w:val="22"/>
        </w:rPr>
        <w:t xml:space="preserve">des </w:t>
      </w:r>
      <w:r w:rsidRPr="00E01B12">
        <w:rPr>
          <w:rFonts w:ascii="Calibri" w:hAnsi="Calibri" w:cs="Calibri"/>
          <w:sz w:val="22"/>
          <w:szCs w:val="22"/>
        </w:rPr>
        <w:t xml:space="preserve">droits à subvention du CAS </w:t>
      </w:r>
      <w:r>
        <w:rPr>
          <w:rFonts w:ascii="Calibri" w:hAnsi="Calibri" w:cs="Calibri"/>
          <w:sz w:val="22"/>
          <w:szCs w:val="22"/>
        </w:rPr>
        <w:t>FACE</w:t>
      </w:r>
      <w:r w:rsidRPr="00E01B12">
        <w:rPr>
          <w:rFonts w:ascii="Calibri" w:hAnsi="Calibri" w:cs="Calibri"/>
          <w:sz w:val="22"/>
          <w:szCs w:val="22"/>
        </w:rPr>
        <w:t xml:space="preserve"> au titre de la programmation 2021</w:t>
      </w:r>
      <w:r>
        <w:rPr>
          <w:rFonts w:ascii="Calibri" w:hAnsi="Calibri" w:cs="Calibri"/>
          <w:sz w:val="22"/>
          <w:szCs w:val="22"/>
        </w:rPr>
        <w:t xml:space="preserve">, le concédant communiquera son </w:t>
      </w:r>
      <w:r w:rsidRPr="00E01B12">
        <w:rPr>
          <w:rFonts w:ascii="Calibri" w:hAnsi="Calibri" w:cs="Calibri"/>
          <w:sz w:val="22"/>
          <w:szCs w:val="22"/>
        </w:rPr>
        <w:t xml:space="preserve">premier </w:t>
      </w:r>
      <w:r>
        <w:rPr>
          <w:rFonts w:ascii="Calibri" w:hAnsi="Calibri" w:cs="Calibri"/>
          <w:sz w:val="22"/>
          <w:szCs w:val="22"/>
        </w:rPr>
        <w:t>PPI par courrier au gestionnaire du réseau de distribution pour le 30 juin 2021. </w:t>
      </w:r>
    </w:p>
    <w:p w:rsidR="00580202" w:rsidRDefault="00580202" w:rsidP="00580202">
      <w:pPr>
        <w:rPr>
          <w:rFonts w:ascii="Calibri" w:hAnsi="Calibri" w:cs="Calibri"/>
          <w:sz w:val="22"/>
          <w:szCs w:val="22"/>
        </w:rPr>
      </w:pPr>
      <w:bookmarkStart w:id="3" w:name="_Toc498975520"/>
    </w:p>
    <w:p w:rsidR="00580202" w:rsidRPr="008630FB" w:rsidRDefault="00580202" w:rsidP="00580202">
      <w:pPr>
        <w:pStyle w:val="Titre1"/>
        <w:spacing w:before="0"/>
        <w:rPr>
          <w:rFonts w:ascii="Calibri" w:hAnsi="Calibri" w:cs="Calibri"/>
          <w:color w:val="auto"/>
          <w:sz w:val="22"/>
          <w:szCs w:val="22"/>
          <w:u w:val="single"/>
        </w:rPr>
      </w:pPr>
      <w:r w:rsidRPr="008630FB">
        <w:rPr>
          <w:rFonts w:ascii="Calibri" w:hAnsi="Calibri" w:cs="Calibri"/>
          <w:color w:val="auto"/>
          <w:sz w:val="22"/>
          <w:szCs w:val="22"/>
          <w:u w:val="single"/>
        </w:rPr>
        <w:t>Engagement financier du gestionnaire de réseau de distribution</w:t>
      </w:r>
      <w:bookmarkEnd w:id="3"/>
      <w:r w:rsidR="00074109">
        <w:rPr>
          <w:rFonts w:ascii="Calibri" w:hAnsi="Calibri" w:cs="Calibri"/>
          <w:color w:val="auto"/>
          <w:sz w:val="22"/>
          <w:szCs w:val="22"/>
          <w:u w:val="single"/>
        </w:rPr>
        <w:t> :</w:t>
      </w:r>
    </w:p>
    <w:p w:rsidR="00580202" w:rsidRPr="008630FB" w:rsidRDefault="00580202" w:rsidP="00580202">
      <w:pPr>
        <w:rPr>
          <w:rFonts w:ascii="Calibri" w:hAnsi="Calibri" w:cs="Calibri"/>
          <w:sz w:val="22"/>
          <w:szCs w:val="22"/>
        </w:rPr>
      </w:pPr>
    </w:p>
    <w:p w:rsidR="00580202" w:rsidRPr="008630FB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8630FB">
        <w:rPr>
          <w:rFonts w:ascii="Calibri" w:hAnsi="Calibri" w:cs="Calibri"/>
          <w:sz w:val="22"/>
          <w:szCs w:val="22"/>
        </w:rPr>
        <w:t xml:space="preserve">L’engagement financier total du gestionnaire de réseau de distribution au titre du programme pluriannuel pour la </w:t>
      </w:r>
      <w:r w:rsidRPr="00307B7A">
        <w:rPr>
          <w:rFonts w:ascii="Calibri" w:hAnsi="Calibri" w:cs="Calibri"/>
          <w:sz w:val="22"/>
          <w:szCs w:val="22"/>
        </w:rPr>
        <w:t>période 20</w:t>
      </w:r>
      <w:r w:rsidR="002E1E82" w:rsidRPr="00307B7A">
        <w:rPr>
          <w:rFonts w:ascii="Calibri" w:hAnsi="Calibri" w:cs="Calibri"/>
          <w:sz w:val="22"/>
          <w:szCs w:val="22"/>
        </w:rPr>
        <w:t>2</w:t>
      </w:r>
      <w:r w:rsidR="00C36BAE" w:rsidRPr="00307B7A">
        <w:rPr>
          <w:rFonts w:ascii="Calibri" w:hAnsi="Calibri" w:cs="Calibri"/>
          <w:sz w:val="22"/>
          <w:szCs w:val="22"/>
        </w:rPr>
        <w:t>1</w:t>
      </w:r>
      <w:r w:rsidRPr="00307B7A">
        <w:rPr>
          <w:rFonts w:ascii="Calibri" w:hAnsi="Calibri" w:cs="Calibri"/>
          <w:sz w:val="22"/>
          <w:szCs w:val="22"/>
        </w:rPr>
        <w:t>-202</w:t>
      </w:r>
      <w:r w:rsidR="00307B7A" w:rsidRPr="00307B7A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</w:t>
      </w:r>
      <w:r w:rsidRPr="008630FB">
        <w:rPr>
          <w:rFonts w:ascii="Calibri" w:hAnsi="Calibri" w:cs="Calibri"/>
          <w:sz w:val="22"/>
          <w:szCs w:val="22"/>
        </w:rPr>
        <w:t>est le suivant :</w:t>
      </w:r>
    </w:p>
    <w:p w:rsidR="00580202" w:rsidRPr="008630FB" w:rsidRDefault="00580202" w:rsidP="00580202">
      <w:pPr>
        <w:rPr>
          <w:rFonts w:ascii="Calibri" w:hAnsi="Calibri" w:cs="Calibri"/>
          <w:b/>
          <w:bCs/>
          <w:i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329"/>
        <w:gridCol w:w="2529"/>
      </w:tblGrid>
      <w:tr w:rsidR="008B727C" w:rsidRPr="00EF79B9" w:rsidTr="008B727C">
        <w:trPr>
          <w:trHeight w:val="340"/>
          <w:jc w:val="center"/>
        </w:trPr>
        <w:tc>
          <w:tcPr>
            <w:tcW w:w="4329" w:type="dxa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727C" w:rsidRPr="00EF79B9" w:rsidRDefault="008B727C" w:rsidP="00580202">
            <w:pPr>
              <w:pStyle w:val="Corpsdetexte21"/>
              <w:jc w:val="left"/>
              <w:rPr>
                <w:rFonts w:ascii="Calibri" w:hAnsi="Calibri" w:cs="Calibri"/>
                <w:bCs/>
                <w:i/>
                <w:color w:val="auto"/>
                <w:sz w:val="22"/>
                <w:szCs w:val="22"/>
              </w:rPr>
            </w:pPr>
            <w:r w:rsidRPr="00EF79B9">
              <w:rPr>
                <w:rFonts w:ascii="Calibri" w:hAnsi="Calibri" w:cs="Calibri"/>
                <w:bCs/>
                <w:i/>
                <w:color w:val="auto"/>
                <w:sz w:val="22"/>
                <w:szCs w:val="22"/>
              </w:rPr>
              <w:t>Finalité</w:t>
            </w:r>
          </w:p>
        </w:tc>
        <w:tc>
          <w:tcPr>
            <w:tcW w:w="252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9D9D9"/>
            <w:vAlign w:val="center"/>
          </w:tcPr>
          <w:p w:rsidR="008B727C" w:rsidRDefault="008B727C" w:rsidP="00F91DCE">
            <w:pPr>
              <w:pStyle w:val="Corpsdetexte21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Total </w:t>
            </w:r>
            <w:r w:rsidRPr="00307B7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2021-2025</w:t>
            </w:r>
          </w:p>
        </w:tc>
      </w:tr>
      <w:tr w:rsidR="008B727C" w:rsidRPr="00EF79B9" w:rsidTr="001A2F55">
        <w:trPr>
          <w:trHeight w:val="340"/>
          <w:jc w:val="center"/>
        </w:trPr>
        <w:tc>
          <w:tcPr>
            <w:tcW w:w="43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27C" w:rsidRDefault="008B727C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>Renforcement HTA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B727C" w:rsidRDefault="008B727C" w:rsidP="00F34395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0,2</w:t>
            </w:r>
            <w:r w:rsidRPr="00EF79B9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 M€</w:t>
            </w:r>
          </w:p>
        </w:tc>
      </w:tr>
      <w:tr w:rsidR="008B727C" w:rsidRPr="00EF79B9" w:rsidTr="001A2F55">
        <w:trPr>
          <w:trHeight w:val="340"/>
          <w:jc w:val="center"/>
        </w:trPr>
        <w:tc>
          <w:tcPr>
            <w:tcW w:w="43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27C" w:rsidRDefault="008B727C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>Renforcement BT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B727C" w:rsidRDefault="008B727C" w:rsidP="0061603F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0,5</w:t>
            </w:r>
            <w:r w:rsidRPr="00EF79B9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 M€</w:t>
            </w:r>
          </w:p>
        </w:tc>
      </w:tr>
      <w:tr w:rsidR="008B727C" w:rsidRPr="00EF79B9" w:rsidTr="001A2F55">
        <w:trPr>
          <w:trHeight w:val="340"/>
          <w:jc w:val="center"/>
        </w:trPr>
        <w:tc>
          <w:tcPr>
            <w:tcW w:w="43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27C" w:rsidRPr="00EF79B9" w:rsidRDefault="008B727C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>Modernisation</w:t>
            </w:r>
            <w:r w:rsidRPr="00EF79B9"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 xml:space="preserve"> des réseaux HTA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B727C" w:rsidRPr="00EF79B9" w:rsidRDefault="008B727C" w:rsidP="00F34395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9,1</w:t>
            </w:r>
            <w:r w:rsidRPr="00EF79B9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 M€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8B727C" w:rsidRPr="00EF79B9" w:rsidTr="001A2F55">
        <w:trPr>
          <w:trHeight w:val="340"/>
          <w:jc w:val="center"/>
        </w:trPr>
        <w:tc>
          <w:tcPr>
            <w:tcW w:w="43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27C" w:rsidRPr="00EF79B9" w:rsidRDefault="008B727C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 w:rsidRPr="00EF79B9"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 xml:space="preserve">Modernisation des réseaux BT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B727C" w:rsidRPr="00EF79B9" w:rsidRDefault="008B727C" w:rsidP="00AE3DF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2,4  </w:t>
            </w:r>
            <w:r w:rsidRPr="00EF79B9">
              <w:rPr>
                <w:rFonts w:ascii="Calibri" w:hAnsi="Calibri" w:cs="Calibri"/>
                <w:bCs/>
                <w:i/>
                <w:sz w:val="22"/>
                <w:szCs w:val="22"/>
              </w:rPr>
              <w:t>M€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8B727C" w:rsidRPr="00EF79B9" w:rsidTr="001A2F55">
        <w:trPr>
          <w:trHeight w:val="340"/>
          <w:jc w:val="center"/>
        </w:trPr>
        <w:tc>
          <w:tcPr>
            <w:tcW w:w="4329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B727C" w:rsidRPr="00EF79B9" w:rsidRDefault="008B727C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B727C" w:rsidRPr="00EF79B9" w:rsidRDefault="008B727C" w:rsidP="00AE3DF2">
            <w:pPr>
              <w:pStyle w:val="NormalWeb"/>
              <w:spacing w:before="0" w:beforeAutospacing="0" w:after="0" w:afterAutospacing="0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8B727C" w:rsidRPr="008630FB" w:rsidTr="008B727C">
        <w:trPr>
          <w:trHeight w:val="324"/>
          <w:jc w:val="center"/>
        </w:trPr>
        <w:tc>
          <w:tcPr>
            <w:tcW w:w="43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D9D9D9"/>
            <w:vAlign w:val="center"/>
          </w:tcPr>
          <w:p w:rsidR="008B727C" w:rsidRPr="008630FB" w:rsidRDefault="008B727C" w:rsidP="00580202">
            <w:pPr>
              <w:pStyle w:val="Corpsdetexte21"/>
              <w:jc w:val="left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8630FB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Engagement financier total </w:t>
            </w:r>
          </w:p>
        </w:tc>
        <w:tc>
          <w:tcPr>
            <w:tcW w:w="25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8B727C" w:rsidRPr="008630FB" w:rsidRDefault="008B727C" w:rsidP="00AE3DF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 xml:space="preserve">12,20 </w:t>
            </w:r>
            <w:r w:rsidRPr="008630FB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 xml:space="preserve"> M€</w:t>
            </w:r>
            <w:r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580202" w:rsidRDefault="00580202" w:rsidP="00580202">
      <w:pPr>
        <w:jc w:val="both"/>
        <w:rPr>
          <w:rFonts w:ascii="Calibri" w:hAnsi="Calibri" w:cs="Calibri"/>
          <w:sz w:val="22"/>
          <w:szCs w:val="22"/>
          <w:highlight w:val="cyan"/>
        </w:rPr>
      </w:pPr>
    </w:p>
    <w:p w:rsidR="008B727C" w:rsidRPr="008630FB" w:rsidRDefault="008B727C" w:rsidP="00580202">
      <w:pPr>
        <w:jc w:val="both"/>
        <w:rPr>
          <w:rFonts w:ascii="Calibri" w:hAnsi="Calibri" w:cs="Calibri"/>
          <w:sz w:val="22"/>
          <w:szCs w:val="22"/>
          <w:highlight w:val="cyan"/>
        </w:rPr>
      </w:pPr>
    </w:p>
    <w:p w:rsidR="00580202" w:rsidRDefault="00580202" w:rsidP="00AE3DF2">
      <w:pPr>
        <w:jc w:val="both"/>
        <w:rPr>
          <w:rFonts w:ascii="Calibri" w:hAnsi="Calibri" w:cs="Calibri"/>
          <w:sz w:val="22"/>
          <w:szCs w:val="22"/>
        </w:rPr>
      </w:pPr>
      <w:r w:rsidRPr="005C1090">
        <w:rPr>
          <w:rFonts w:ascii="Calibri" w:hAnsi="Calibri" w:cs="Calibri"/>
          <w:sz w:val="22"/>
          <w:szCs w:val="22"/>
        </w:rPr>
        <w:t>L’engagement financier du gestionnaire de réseau de distribution porte sur le total des opérations retenues pour la période du programme pluriannuel des investissements ; la ventilation présentée dans le tableau, ci-dessus, peut être amenée à évoluer en fonction d’éléments conjoncturels (ex. : aléas climatiques, réglementation) ou structurels (ex. : politiques techniques, retours d’expérience).</w:t>
      </w:r>
    </w:p>
    <w:p w:rsidR="00AE3DF2" w:rsidRDefault="00AE3DF2" w:rsidP="00AE3DF2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8B727C" w:rsidRPr="00E41DCD" w:rsidRDefault="008B727C" w:rsidP="00AE3DF2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580202" w:rsidRPr="00E41DCD" w:rsidRDefault="00580202" w:rsidP="00580202">
      <w:pPr>
        <w:pStyle w:val="Titre2"/>
        <w:tabs>
          <w:tab w:val="left" w:pos="7410"/>
        </w:tabs>
        <w:jc w:val="both"/>
        <w:rPr>
          <w:rFonts w:ascii="Calibri" w:hAnsi="Calibri" w:cs="Calibri"/>
          <w:sz w:val="22"/>
          <w:szCs w:val="22"/>
          <w:u w:val="single"/>
        </w:rPr>
      </w:pPr>
      <w:bookmarkStart w:id="4" w:name="_Toc498975522"/>
      <w:r w:rsidRPr="00E41DCD">
        <w:rPr>
          <w:rFonts w:ascii="Calibri" w:hAnsi="Calibri" w:cs="Calibri"/>
          <w:sz w:val="22"/>
          <w:szCs w:val="22"/>
          <w:u w:val="single"/>
        </w:rPr>
        <w:t>Modalités de Suivi technique</w:t>
      </w:r>
      <w:bookmarkEnd w:id="4"/>
      <w:r w:rsidRPr="00E41DCD"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du Programme Pluriannuel d’I</w:t>
      </w:r>
      <w:r w:rsidRPr="00E41DCD">
        <w:rPr>
          <w:rFonts w:ascii="Calibri" w:hAnsi="Calibri" w:cs="Calibri"/>
          <w:sz w:val="22"/>
          <w:szCs w:val="22"/>
          <w:u w:val="single"/>
        </w:rPr>
        <w:t>nvestissements</w:t>
      </w:r>
      <w:r w:rsidR="00074109">
        <w:rPr>
          <w:rFonts w:ascii="Calibri" w:hAnsi="Calibri" w:cs="Calibri"/>
          <w:sz w:val="22"/>
          <w:szCs w:val="22"/>
          <w:u w:val="single"/>
        </w:rPr>
        <w:t> :</w:t>
      </w:r>
    </w:p>
    <w:p w:rsidR="00580202" w:rsidRPr="008630FB" w:rsidRDefault="00580202" w:rsidP="00580202">
      <w:pPr>
        <w:rPr>
          <w:rFonts w:ascii="Calibri" w:hAnsi="Calibri" w:cs="Calibri"/>
          <w:b/>
          <w:sz w:val="22"/>
          <w:szCs w:val="22"/>
        </w:rPr>
      </w:pPr>
    </w:p>
    <w:p w:rsidR="00580202" w:rsidRDefault="00580202" w:rsidP="00580202">
      <w:pPr>
        <w:rPr>
          <w:rFonts w:ascii="Calibri" w:hAnsi="Calibri" w:cs="Calibri"/>
          <w:sz w:val="22"/>
          <w:szCs w:val="22"/>
        </w:rPr>
      </w:pPr>
      <w:r w:rsidRPr="008630FB">
        <w:rPr>
          <w:rFonts w:ascii="Calibri" w:hAnsi="Calibri" w:cs="Calibri"/>
          <w:sz w:val="22"/>
          <w:szCs w:val="22"/>
        </w:rPr>
        <w:t>La réalisation du programme pluriannuel et son efficacité seront mesurée</w:t>
      </w:r>
      <w:r w:rsidR="008B727C">
        <w:rPr>
          <w:rFonts w:ascii="Calibri" w:hAnsi="Calibri" w:cs="Calibri"/>
          <w:sz w:val="22"/>
          <w:szCs w:val="22"/>
        </w:rPr>
        <w:t xml:space="preserve">s par des indicateurs de suivi </w:t>
      </w:r>
      <w:r w:rsidRPr="008630FB">
        <w:rPr>
          <w:rFonts w:ascii="Calibri" w:hAnsi="Calibri" w:cs="Calibri"/>
          <w:sz w:val="22"/>
          <w:szCs w:val="22"/>
        </w:rPr>
        <w:t>de réalisation et des indicateurs d’évaluation de l’efficacité, comme précisé ci-dessous.</w:t>
      </w:r>
    </w:p>
    <w:p w:rsidR="00530344" w:rsidRDefault="00530344" w:rsidP="00580202">
      <w:pPr>
        <w:rPr>
          <w:rFonts w:ascii="Calibri" w:hAnsi="Calibri" w:cs="Calibri"/>
          <w:sz w:val="22"/>
          <w:szCs w:val="22"/>
        </w:rPr>
      </w:pPr>
    </w:p>
    <w:p w:rsidR="00323133" w:rsidRDefault="00323133" w:rsidP="00580202">
      <w:pPr>
        <w:rPr>
          <w:rFonts w:ascii="Calibri" w:hAnsi="Calibri" w:cs="Calibri"/>
          <w:sz w:val="22"/>
          <w:szCs w:val="22"/>
        </w:rPr>
      </w:pPr>
    </w:p>
    <w:p w:rsidR="00CB5D31" w:rsidRDefault="00CB5D31" w:rsidP="00580202">
      <w:pPr>
        <w:rPr>
          <w:rFonts w:ascii="Calibri" w:hAnsi="Calibri" w:cs="Calibri"/>
          <w:sz w:val="22"/>
          <w:szCs w:val="22"/>
        </w:rPr>
      </w:pPr>
    </w:p>
    <w:p w:rsidR="006006B0" w:rsidRDefault="006006B0" w:rsidP="00580202">
      <w:pPr>
        <w:rPr>
          <w:rFonts w:ascii="Calibri" w:hAnsi="Calibri" w:cs="Calibri"/>
          <w:sz w:val="22"/>
          <w:szCs w:val="22"/>
        </w:rPr>
      </w:pPr>
    </w:p>
    <w:p w:rsidR="00CB5D31" w:rsidRDefault="00CB5D31" w:rsidP="00580202">
      <w:pPr>
        <w:rPr>
          <w:rFonts w:ascii="Calibri" w:hAnsi="Calibri" w:cs="Calibri"/>
          <w:sz w:val="22"/>
          <w:szCs w:val="22"/>
        </w:rPr>
      </w:pPr>
    </w:p>
    <w:p w:rsidR="00323133" w:rsidRDefault="00323133" w:rsidP="00580202">
      <w:pPr>
        <w:rPr>
          <w:rFonts w:ascii="Calibri" w:hAnsi="Calibri" w:cs="Calibr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2693"/>
        <w:gridCol w:w="3544"/>
      </w:tblGrid>
      <w:tr w:rsidR="00414E34" w:rsidRPr="008C1B90" w:rsidTr="008C1B90">
        <w:tc>
          <w:tcPr>
            <w:tcW w:w="3119" w:type="dxa"/>
            <w:shd w:val="clear" w:color="auto" w:fill="auto"/>
          </w:tcPr>
          <w:p w:rsidR="00414E34" w:rsidRPr="008C1B90" w:rsidRDefault="00414E34" w:rsidP="008C1B90">
            <w:pPr>
              <w:tabs>
                <w:tab w:val="center" w:pos="1560"/>
                <w:tab w:val="center" w:pos="723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C1B90">
              <w:rPr>
                <w:rFonts w:ascii="Calibri" w:hAnsi="Calibri" w:cs="Arial"/>
                <w:b/>
                <w:sz w:val="22"/>
                <w:szCs w:val="22"/>
              </w:rPr>
              <w:lastRenderedPageBreak/>
              <w:t>Type de priorité/programme</w:t>
            </w:r>
          </w:p>
        </w:tc>
        <w:tc>
          <w:tcPr>
            <w:tcW w:w="2693" w:type="dxa"/>
            <w:shd w:val="clear" w:color="auto" w:fill="auto"/>
          </w:tcPr>
          <w:p w:rsidR="00414E34" w:rsidRPr="008C1B90" w:rsidRDefault="00414E34" w:rsidP="00FB6E1E">
            <w:pPr>
              <w:tabs>
                <w:tab w:val="center" w:pos="1560"/>
                <w:tab w:val="center" w:pos="723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C1B90">
              <w:rPr>
                <w:rFonts w:ascii="Calibri" w:hAnsi="Calibri" w:cs="Arial"/>
                <w:b/>
                <w:sz w:val="22"/>
                <w:szCs w:val="22"/>
              </w:rPr>
              <w:t>Indicateur de suivi</w:t>
            </w:r>
          </w:p>
        </w:tc>
        <w:tc>
          <w:tcPr>
            <w:tcW w:w="3544" w:type="dxa"/>
            <w:shd w:val="clear" w:color="auto" w:fill="auto"/>
          </w:tcPr>
          <w:p w:rsidR="00414E34" w:rsidRPr="008C1B90" w:rsidRDefault="00414E34" w:rsidP="00FB6E1E">
            <w:pPr>
              <w:tabs>
                <w:tab w:val="center" w:pos="1560"/>
                <w:tab w:val="center" w:pos="723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C1B90">
              <w:rPr>
                <w:rFonts w:ascii="Calibri" w:hAnsi="Calibri" w:cs="Arial"/>
                <w:b/>
                <w:sz w:val="22"/>
                <w:szCs w:val="22"/>
              </w:rPr>
              <w:t>Indicateur d’évaluation</w:t>
            </w:r>
          </w:p>
        </w:tc>
      </w:tr>
      <w:tr w:rsidR="00414E34" w:rsidRPr="008C1B90" w:rsidTr="008C1B90">
        <w:tc>
          <w:tcPr>
            <w:tcW w:w="3119" w:type="dxa"/>
            <w:vAlign w:val="center"/>
          </w:tcPr>
          <w:p w:rsidR="00414E34" w:rsidRPr="008C1B90" w:rsidRDefault="005241B9" w:rsidP="008C1B90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8C1B90">
              <w:rPr>
                <w:rFonts w:ascii="Calibri" w:hAnsi="Calibri" w:cs="Calibri"/>
                <w:sz w:val="22"/>
                <w:szCs w:val="22"/>
              </w:rPr>
              <w:t>Traiter le risque climatique et fiabiliser le réseau HTA aérien (PDV, PAC, renouvellement HTA aérien) </w:t>
            </w:r>
          </w:p>
        </w:tc>
        <w:tc>
          <w:tcPr>
            <w:tcW w:w="2693" w:type="dxa"/>
            <w:vAlign w:val="center"/>
          </w:tcPr>
          <w:p w:rsidR="00414E34" w:rsidRPr="008C1B90" w:rsidRDefault="00414E34" w:rsidP="00FB6E1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8C1B90">
              <w:rPr>
                <w:rFonts w:ascii="Calibri" w:hAnsi="Calibri" w:cs="Arial"/>
                <w:sz w:val="22"/>
                <w:szCs w:val="22"/>
              </w:rPr>
              <w:t>Nombre de km</w:t>
            </w:r>
            <w:r w:rsidR="00FB6E1E" w:rsidRPr="008C1B90">
              <w:rPr>
                <w:rFonts w:ascii="Calibri" w:hAnsi="Calibri" w:cs="Arial"/>
                <w:sz w:val="22"/>
                <w:szCs w:val="22"/>
              </w:rPr>
              <w:t>s</w:t>
            </w:r>
            <w:r w:rsidRPr="008C1B9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FB6E1E" w:rsidRPr="008C1B90">
              <w:rPr>
                <w:rFonts w:ascii="Calibri" w:hAnsi="Calibri" w:cs="Arial"/>
                <w:sz w:val="22"/>
                <w:szCs w:val="22"/>
              </w:rPr>
              <w:t>traités</w:t>
            </w:r>
            <w:r w:rsidRPr="008C1B90">
              <w:rPr>
                <w:rFonts w:ascii="Calibri" w:hAnsi="Calibri" w:cs="Arial"/>
                <w:sz w:val="22"/>
                <w:szCs w:val="22"/>
              </w:rPr>
              <w:t xml:space="preserve"> / an</w:t>
            </w:r>
          </w:p>
        </w:tc>
        <w:tc>
          <w:tcPr>
            <w:tcW w:w="3544" w:type="dxa"/>
            <w:vAlign w:val="center"/>
          </w:tcPr>
          <w:p w:rsidR="00414E34" w:rsidRPr="008C1B90" w:rsidRDefault="00414E34" w:rsidP="00FB6E1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8C1B90">
              <w:rPr>
                <w:rFonts w:ascii="Calibri" w:hAnsi="Calibri" w:cs="Arial"/>
                <w:sz w:val="22"/>
                <w:szCs w:val="22"/>
              </w:rPr>
              <w:t xml:space="preserve">Taux </w:t>
            </w:r>
            <w:r w:rsidR="00F3745F" w:rsidRPr="008C1B90">
              <w:rPr>
                <w:rFonts w:ascii="Calibri" w:hAnsi="Calibri" w:cs="Arial"/>
                <w:sz w:val="22"/>
                <w:szCs w:val="22"/>
              </w:rPr>
              <w:t xml:space="preserve">annuel </w:t>
            </w:r>
            <w:r w:rsidRPr="008C1B90">
              <w:rPr>
                <w:rFonts w:ascii="Calibri" w:hAnsi="Calibri" w:cs="Arial"/>
                <w:sz w:val="22"/>
                <w:szCs w:val="22"/>
              </w:rPr>
              <w:t xml:space="preserve">d’incident au 100 km sur réseau HTA aérien de la concession </w:t>
            </w:r>
          </w:p>
        </w:tc>
      </w:tr>
      <w:tr w:rsidR="00414E34" w:rsidRPr="008C1B90" w:rsidTr="008C1B90">
        <w:tc>
          <w:tcPr>
            <w:tcW w:w="3119" w:type="dxa"/>
            <w:vAlign w:val="center"/>
          </w:tcPr>
          <w:p w:rsidR="00414E34" w:rsidRPr="008C1B90" w:rsidRDefault="00FB6E1E" w:rsidP="008C1B90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68068F">
              <w:rPr>
                <w:rFonts w:ascii="Calibri" w:hAnsi="Calibri" w:cs="Calibri"/>
                <w:sz w:val="22"/>
                <w:szCs w:val="22"/>
              </w:rPr>
              <w:t>enouvellement priorisé des lignes aériennes BT fi</w:t>
            </w:r>
            <w:r>
              <w:rPr>
                <w:rFonts w:ascii="Calibri" w:hAnsi="Calibri" w:cs="Calibri"/>
                <w:sz w:val="22"/>
                <w:szCs w:val="22"/>
              </w:rPr>
              <w:t>ls nus les plus incidentogènes </w:t>
            </w:r>
          </w:p>
        </w:tc>
        <w:tc>
          <w:tcPr>
            <w:tcW w:w="2693" w:type="dxa"/>
            <w:vAlign w:val="center"/>
          </w:tcPr>
          <w:p w:rsidR="00414E34" w:rsidRPr="008C1B90" w:rsidRDefault="00414E34" w:rsidP="00FB6E1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8C1B90">
              <w:rPr>
                <w:rFonts w:ascii="Calibri" w:hAnsi="Calibri" w:cs="Arial"/>
                <w:sz w:val="22"/>
                <w:szCs w:val="22"/>
              </w:rPr>
              <w:t>Nombre de km</w:t>
            </w:r>
            <w:r w:rsidR="00FB6E1E" w:rsidRPr="008C1B90">
              <w:rPr>
                <w:rFonts w:ascii="Calibri" w:hAnsi="Calibri" w:cs="Arial"/>
                <w:sz w:val="22"/>
                <w:szCs w:val="22"/>
              </w:rPr>
              <w:t>s</w:t>
            </w:r>
            <w:r w:rsidRPr="008C1B90">
              <w:rPr>
                <w:rFonts w:ascii="Calibri" w:hAnsi="Calibri" w:cs="Arial"/>
                <w:sz w:val="22"/>
                <w:szCs w:val="22"/>
              </w:rPr>
              <w:t xml:space="preserve"> de réseau </w:t>
            </w:r>
            <w:r w:rsidR="00FB6E1E" w:rsidRPr="008C1B90">
              <w:rPr>
                <w:rFonts w:ascii="Calibri" w:hAnsi="Calibri" w:cs="Arial"/>
                <w:sz w:val="22"/>
                <w:szCs w:val="22"/>
              </w:rPr>
              <w:t xml:space="preserve">BT déposés </w:t>
            </w:r>
            <w:r w:rsidRPr="008C1B90">
              <w:rPr>
                <w:rFonts w:ascii="Calibri" w:hAnsi="Calibri" w:cs="Arial"/>
                <w:sz w:val="22"/>
                <w:szCs w:val="22"/>
              </w:rPr>
              <w:t>/ an</w:t>
            </w:r>
          </w:p>
        </w:tc>
        <w:tc>
          <w:tcPr>
            <w:tcW w:w="3544" w:type="dxa"/>
            <w:vAlign w:val="center"/>
          </w:tcPr>
          <w:p w:rsidR="00414E34" w:rsidRPr="00F91DCE" w:rsidRDefault="00FB6E1E" w:rsidP="00F91DC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F91DCE">
              <w:rPr>
                <w:rFonts w:ascii="Calibri" w:hAnsi="Calibri" w:cs="Arial"/>
                <w:sz w:val="22"/>
                <w:szCs w:val="22"/>
              </w:rPr>
              <w:t xml:space="preserve">Taux </w:t>
            </w:r>
            <w:r w:rsidR="00F3745F" w:rsidRPr="00F91DCE">
              <w:rPr>
                <w:rFonts w:ascii="Calibri" w:hAnsi="Calibri" w:cs="Arial"/>
                <w:sz w:val="22"/>
                <w:szCs w:val="22"/>
              </w:rPr>
              <w:t xml:space="preserve">annuel </w:t>
            </w:r>
            <w:r w:rsidRPr="00F91DCE">
              <w:rPr>
                <w:rFonts w:ascii="Calibri" w:hAnsi="Calibri" w:cs="Arial"/>
                <w:sz w:val="22"/>
                <w:szCs w:val="22"/>
              </w:rPr>
              <w:t>d’incident au 100 km sur réseau BT aérien de la concession</w:t>
            </w:r>
            <w:r w:rsidR="00666BBE" w:rsidRPr="00F91DCE">
              <w:rPr>
                <w:rFonts w:ascii="Calibri" w:hAnsi="Calibri" w:cs="Arial"/>
                <w:sz w:val="22"/>
                <w:szCs w:val="22"/>
              </w:rPr>
              <w:t xml:space="preserve"> (moyenne 2021-202</w:t>
            </w:r>
            <w:r w:rsidR="00F91DCE" w:rsidRPr="00F91DCE">
              <w:rPr>
                <w:rFonts w:ascii="Calibri" w:hAnsi="Calibri" w:cs="Arial"/>
                <w:sz w:val="22"/>
                <w:szCs w:val="22"/>
              </w:rPr>
              <w:t>5</w:t>
            </w:r>
            <w:r w:rsidR="00666BBE" w:rsidRPr="00F91DCE">
              <w:rPr>
                <w:rFonts w:ascii="Calibri" w:hAnsi="Calibri" w:cs="Arial"/>
                <w:sz w:val="22"/>
                <w:szCs w:val="22"/>
              </w:rPr>
              <w:t xml:space="preserve"> vs. moyenne 2014-2018)</w:t>
            </w:r>
          </w:p>
        </w:tc>
      </w:tr>
      <w:tr w:rsidR="00414E34" w:rsidRPr="008C1B90" w:rsidTr="008C1B90">
        <w:tc>
          <w:tcPr>
            <w:tcW w:w="3119" w:type="dxa"/>
            <w:vAlign w:val="center"/>
          </w:tcPr>
          <w:p w:rsidR="00414E34" w:rsidRPr="008C1B90" w:rsidRDefault="00FB6E1E" w:rsidP="008C1B90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68068F">
              <w:rPr>
                <w:rFonts w:ascii="Calibri" w:hAnsi="Calibri" w:cs="Calibri"/>
                <w:sz w:val="22"/>
                <w:szCs w:val="22"/>
              </w:rPr>
              <w:t>enforcement de la réactivité grâce au développement et au maintien à niveau du parc d’or</w:t>
            </w:r>
            <w:r>
              <w:rPr>
                <w:rFonts w:ascii="Calibri" w:hAnsi="Calibri" w:cs="Calibri"/>
                <w:sz w:val="22"/>
                <w:szCs w:val="22"/>
              </w:rPr>
              <w:t>ganes de manœuvre télécommandés</w:t>
            </w:r>
          </w:p>
        </w:tc>
        <w:tc>
          <w:tcPr>
            <w:tcW w:w="2693" w:type="dxa"/>
            <w:vAlign w:val="center"/>
          </w:tcPr>
          <w:p w:rsidR="00414E34" w:rsidRPr="008C1B90" w:rsidRDefault="00414E34" w:rsidP="00FB6E1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8C1B90">
              <w:rPr>
                <w:rFonts w:ascii="Calibri" w:hAnsi="Calibri" w:cs="Arial"/>
                <w:sz w:val="22"/>
                <w:szCs w:val="22"/>
              </w:rPr>
              <w:t>Nombre d</w:t>
            </w:r>
            <w:r w:rsidR="00FB6E1E" w:rsidRPr="008C1B90">
              <w:rPr>
                <w:rFonts w:ascii="Calibri" w:hAnsi="Calibri" w:cs="Arial"/>
                <w:sz w:val="22"/>
                <w:szCs w:val="22"/>
              </w:rPr>
              <w:t xml:space="preserve">’OMT posés </w:t>
            </w:r>
            <w:r w:rsidRPr="008C1B90">
              <w:rPr>
                <w:rFonts w:ascii="Calibri" w:hAnsi="Calibri" w:cs="Arial"/>
                <w:sz w:val="22"/>
                <w:szCs w:val="22"/>
              </w:rPr>
              <w:t>/ an</w:t>
            </w:r>
          </w:p>
        </w:tc>
        <w:tc>
          <w:tcPr>
            <w:tcW w:w="3544" w:type="dxa"/>
            <w:vAlign w:val="center"/>
          </w:tcPr>
          <w:p w:rsidR="00414E34" w:rsidRPr="00F91DCE" w:rsidRDefault="00936DBC" w:rsidP="008C1B90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F91DCE">
              <w:rPr>
                <w:rFonts w:ascii="Calibri" w:hAnsi="Calibri" w:cs="Arial"/>
                <w:sz w:val="22"/>
                <w:szCs w:val="22"/>
              </w:rPr>
              <w:t>Nombre de client impacté par l'ajout de l'OMT</w:t>
            </w:r>
          </w:p>
        </w:tc>
      </w:tr>
      <w:tr w:rsidR="00414E34" w:rsidRPr="008C1B90" w:rsidTr="008C1B90">
        <w:tc>
          <w:tcPr>
            <w:tcW w:w="3119" w:type="dxa"/>
            <w:vAlign w:val="center"/>
          </w:tcPr>
          <w:p w:rsidR="00414E34" w:rsidRPr="008C1B90" w:rsidRDefault="00530344" w:rsidP="008C1B90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E451AF">
              <w:rPr>
                <w:rFonts w:ascii="Calibri" w:hAnsi="Calibri" w:cs="Calibri"/>
                <w:sz w:val="22"/>
                <w:szCs w:val="22"/>
              </w:rPr>
              <w:t>Renouveler de manière priorisé les CPI HTA</w:t>
            </w:r>
            <w:r>
              <w:rPr>
                <w:rFonts w:ascii="Arial" w:hAnsi="Arial" w:cs="Arial"/>
                <w:bCs/>
                <w:i/>
              </w:rPr>
              <w:t> </w:t>
            </w:r>
          </w:p>
        </w:tc>
        <w:tc>
          <w:tcPr>
            <w:tcW w:w="2693" w:type="dxa"/>
            <w:vAlign w:val="center"/>
          </w:tcPr>
          <w:p w:rsidR="00414E34" w:rsidRPr="008C1B90" w:rsidRDefault="00530344" w:rsidP="00530344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530344">
              <w:rPr>
                <w:rFonts w:ascii="Calibri" w:hAnsi="Calibri" w:cs="Arial"/>
                <w:sz w:val="22"/>
                <w:szCs w:val="22"/>
              </w:rPr>
              <w:t xml:space="preserve">Nombre de kms de réseau </w:t>
            </w:r>
            <w:r>
              <w:rPr>
                <w:rFonts w:ascii="Calibri" w:hAnsi="Calibri" w:cs="Arial"/>
                <w:sz w:val="22"/>
                <w:szCs w:val="22"/>
              </w:rPr>
              <w:t>CPI HTA</w:t>
            </w:r>
            <w:r w:rsidRPr="00530344">
              <w:rPr>
                <w:rFonts w:ascii="Calibri" w:hAnsi="Calibri" w:cs="Arial"/>
                <w:sz w:val="22"/>
                <w:szCs w:val="22"/>
              </w:rPr>
              <w:t xml:space="preserve"> déposés / an</w:t>
            </w:r>
          </w:p>
        </w:tc>
        <w:tc>
          <w:tcPr>
            <w:tcW w:w="3544" w:type="dxa"/>
            <w:vAlign w:val="center"/>
          </w:tcPr>
          <w:p w:rsidR="00414E34" w:rsidRPr="00F91DCE" w:rsidRDefault="00F3745F" w:rsidP="00F91DC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F91DCE">
              <w:rPr>
                <w:rFonts w:ascii="Calibri" w:hAnsi="Calibri" w:cs="Arial"/>
                <w:sz w:val="22"/>
                <w:szCs w:val="22"/>
              </w:rPr>
              <w:t>Taux annuel d’incident au 100 km sur réseau HTA souterrain de la concession</w:t>
            </w:r>
            <w:r w:rsidR="00666BBE" w:rsidRPr="00F91DCE">
              <w:rPr>
                <w:rFonts w:ascii="Calibri" w:hAnsi="Calibri" w:cs="Arial"/>
                <w:sz w:val="22"/>
                <w:szCs w:val="22"/>
              </w:rPr>
              <w:t xml:space="preserve"> (moyenne 2021-202</w:t>
            </w:r>
            <w:r w:rsidR="00F91DCE" w:rsidRPr="00F91DCE">
              <w:rPr>
                <w:rFonts w:ascii="Calibri" w:hAnsi="Calibri" w:cs="Arial"/>
                <w:sz w:val="22"/>
                <w:szCs w:val="22"/>
              </w:rPr>
              <w:t>5</w:t>
            </w:r>
            <w:r w:rsidR="00666BBE" w:rsidRPr="00F91DCE">
              <w:rPr>
                <w:rFonts w:ascii="Calibri" w:hAnsi="Calibri" w:cs="Arial"/>
                <w:sz w:val="22"/>
                <w:szCs w:val="22"/>
              </w:rPr>
              <w:t xml:space="preserve"> vs. moyenne 2014-2018)</w:t>
            </w:r>
          </w:p>
        </w:tc>
      </w:tr>
      <w:tr w:rsidR="00414E34" w:rsidRPr="008C1B90" w:rsidTr="008C1B90">
        <w:tc>
          <w:tcPr>
            <w:tcW w:w="3119" w:type="dxa"/>
            <w:vAlign w:val="center"/>
          </w:tcPr>
          <w:p w:rsidR="00414E34" w:rsidRPr="008C1B90" w:rsidRDefault="00530344" w:rsidP="008C1B90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E451AF">
              <w:rPr>
                <w:rFonts w:ascii="Calibri" w:hAnsi="Calibri" w:cs="Calibri"/>
                <w:sz w:val="22"/>
                <w:szCs w:val="22"/>
              </w:rPr>
              <w:t>enouveler de ma</w:t>
            </w:r>
            <w:r>
              <w:rPr>
                <w:rFonts w:ascii="Calibri" w:hAnsi="Calibri" w:cs="Calibri"/>
                <w:sz w:val="22"/>
                <w:szCs w:val="22"/>
              </w:rPr>
              <w:t>nière priorisé les CPI et NP BT</w:t>
            </w:r>
          </w:p>
        </w:tc>
        <w:tc>
          <w:tcPr>
            <w:tcW w:w="2693" w:type="dxa"/>
            <w:vAlign w:val="center"/>
          </w:tcPr>
          <w:p w:rsidR="00414E34" w:rsidRPr="008C1B90" w:rsidRDefault="00530344" w:rsidP="00530344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530344">
              <w:rPr>
                <w:rFonts w:ascii="Calibri" w:hAnsi="Calibri" w:cs="Arial"/>
                <w:sz w:val="22"/>
                <w:szCs w:val="22"/>
              </w:rPr>
              <w:t xml:space="preserve">Nombre de kms de réseau </w:t>
            </w:r>
            <w:r>
              <w:rPr>
                <w:rFonts w:ascii="Calibri" w:hAnsi="Calibri" w:cs="Arial"/>
                <w:sz w:val="22"/>
                <w:szCs w:val="22"/>
              </w:rPr>
              <w:t xml:space="preserve">CPI et NP BT </w:t>
            </w:r>
            <w:r w:rsidRPr="00530344">
              <w:rPr>
                <w:rFonts w:ascii="Calibri" w:hAnsi="Calibri" w:cs="Arial"/>
                <w:sz w:val="22"/>
                <w:szCs w:val="22"/>
              </w:rPr>
              <w:t>déposés / an</w:t>
            </w:r>
          </w:p>
        </w:tc>
        <w:tc>
          <w:tcPr>
            <w:tcW w:w="3544" w:type="dxa"/>
            <w:vAlign w:val="center"/>
          </w:tcPr>
          <w:p w:rsidR="00414E34" w:rsidRPr="00F91DCE" w:rsidRDefault="00F3745F" w:rsidP="00F91DC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F91DCE">
              <w:rPr>
                <w:rFonts w:ascii="Calibri" w:hAnsi="Calibri" w:cs="Arial"/>
                <w:sz w:val="22"/>
                <w:szCs w:val="22"/>
              </w:rPr>
              <w:t>Taux annuel d’incident au 100 km sur réseau BT souterrain de la concession</w:t>
            </w:r>
            <w:r w:rsidR="00666BBE" w:rsidRPr="00F91DCE">
              <w:rPr>
                <w:rFonts w:ascii="Calibri" w:hAnsi="Calibri" w:cs="Arial"/>
                <w:sz w:val="22"/>
                <w:szCs w:val="22"/>
              </w:rPr>
              <w:t xml:space="preserve"> (moyenne 2021-202</w:t>
            </w:r>
            <w:r w:rsidR="00F91DCE" w:rsidRPr="00F91DCE">
              <w:rPr>
                <w:rFonts w:ascii="Calibri" w:hAnsi="Calibri" w:cs="Arial"/>
                <w:sz w:val="22"/>
                <w:szCs w:val="22"/>
              </w:rPr>
              <w:t>5</w:t>
            </w:r>
            <w:r w:rsidR="00666BBE" w:rsidRPr="00F91DCE">
              <w:rPr>
                <w:rFonts w:ascii="Calibri" w:hAnsi="Calibri" w:cs="Arial"/>
                <w:sz w:val="22"/>
                <w:szCs w:val="22"/>
              </w:rPr>
              <w:t xml:space="preserve"> vs. moyenne 2014-2018)</w:t>
            </w:r>
          </w:p>
        </w:tc>
      </w:tr>
      <w:tr w:rsidR="00917596" w:rsidRPr="00537F8A" w:rsidTr="0091759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596" w:rsidRPr="00917596" w:rsidRDefault="00917596" w:rsidP="00E571B8">
            <w:pPr>
              <w:tabs>
                <w:tab w:val="center" w:pos="1560"/>
                <w:tab w:val="center" w:pos="7230"/>
              </w:tabs>
              <w:rPr>
                <w:rFonts w:ascii="Calibri" w:hAnsi="Calibri" w:cs="Calibri"/>
                <w:sz w:val="22"/>
                <w:szCs w:val="22"/>
              </w:rPr>
            </w:pPr>
            <w:r w:rsidRPr="00917596">
              <w:rPr>
                <w:rFonts w:ascii="Calibri" w:hAnsi="Calibri" w:cs="Calibri"/>
                <w:sz w:val="22"/>
                <w:szCs w:val="22"/>
              </w:rPr>
              <w:t>Critère B HIX hors RTE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596" w:rsidRPr="00917596" w:rsidRDefault="00917596" w:rsidP="00E571B8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917596">
              <w:rPr>
                <w:rFonts w:ascii="Calibri" w:hAnsi="Calibri" w:cs="Arial"/>
                <w:sz w:val="22"/>
                <w:szCs w:val="22"/>
              </w:rPr>
              <w:t>Critère B HIX hors RTE annuel de la concession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596" w:rsidRPr="00F91DCE" w:rsidRDefault="00917596" w:rsidP="00C27A01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F91DCE">
              <w:rPr>
                <w:rFonts w:ascii="Calibri" w:hAnsi="Calibri" w:cs="Arial"/>
                <w:sz w:val="22"/>
                <w:szCs w:val="22"/>
              </w:rPr>
              <w:t>Critère B HIX hors RTE de la concession (</w:t>
            </w:r>
            <w:r w:rsidR="00B712AA" w:rsidRPr="00F91DCE">
              <w:rPr>
                <w:rFonts w:ascii="Calibri" w:hAnsi="Calibri" w:cs="Arial"/>
                <w:sz w:val="22"/>
                <w:szCs w:val="22"/>
              </w:rPr>
              <w:t xml:space="preserve">moyenne </w:t>
            </w:r>
            <w:r w:rsidR="00C27A01" w:rsidRPr="00F91DCE">
              <w:rPr>
                <w:rFonts w:ascii="Calibri" w:hAnsi="Calibri" w:cs="Arial"/>
                <w:sz w:val="22"/>
                <w:szCs w:val="22"/>
              </w:rPr>
              <w:t>nationale</w:t>
            </w:r>
            <w:r w:rsidR="00B712AA" w:rsidRPr="00F91DCE"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</w:tr>
      <w:tr w:rsidR="001528DA" w:rsidRPr="00537F8A" w:rsidTr="001528D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DA" w:rsidRPr="001528DA" w:rsidRDefault="001528DA" w:rsidP="00E571B8">
            <w:pPr>
              <w:tabs>
                <w:tab w:val="center" w:pos="1560"/>
                <w:tab w:val="center" w:pos="7230"/>
              </w:tabs>
              <w:rPr>
                <w:rFonts w:ascii="Calibri" w:hAnsi="Calibri" w:cs="Calibri"/>
                <w:sz w:val="22"/>
                <w:szCs w:val="22"/>
              </w:rPr>
            </w:pPr>
            <w:r w:rsidRPr="001528DA">
              <w:rPr>
                <w:rFonts w:ascii="Calibri" w:hAnsi="Calibri" w:cs="Calibri"/>
                <w:sz w:val="22"/>
                <w:szCs w:val="22"/>
              </w:rPr>
              <w:t>Taux de CMA en tenue de tension (à méthode de calcul identique)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DA" w:rsidRPr="001528DA" w:rsidRDefault="001528DA" w:rsidP="00E571B8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1528DA">
              <w:rPr>
                <w:rFonts w:ascii="Calibri" w:hAnsi="Calibri" w:cs="Arial"/>
                <w:sz w:val="22"/>
                <w:szCs w:val="22"/>
              </w:rPr>
              <w:t>Taux de CMA en tenue de tension annuel de la concession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DA" w:rsidRPr="00F91DCE" w:rsidRDefault="001528DA" w:rsidP="00F91DCE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F91DCE">
              <w:rPr>
                <w:rFonts w:ascii="Calibri" w:hAnsi="Calibri" w:cs="Arial"/>
                <w:sz w:val="22"/>
                <w:szCs w:val="22"/>
              </w:rPr>
              <w:t>Taux de CMA en tenue de tension de la concession (moyenne 20</w:t>
            </w:r>
            <w:r w:rsidR="00CB0D2F" w:rsidRPr="00F91DCE">
              <w:rPr>
                <w:rFonts w:ascii="Calibri" w:hAnsi="Calibri" w:cs="Arial"/>
                <w:sz w:val="22"/>
                <w:szCs w:val="22"/>
              </w:rPr>
              <w:t>2</w:t>
            </w:r>
            <w:r w:rsidRPr="00F91DCE">
              <w:rPr>
                <w:rFonts w:ascii="Calibri" w:hAnsi="Calibri" w:cs="Arial"/>
                <w:sz w:val="22"/>
                <w:szCs w:val="22"/>
              </w:rPr>
              <w:t>1-202</w:t>
            </w:r>
            <w:r w:rsidR="00F91DCE" w:rsidRPr="00F91DCE">
              <w:rPr>
                <w:rFonts w:ascii="Calibri" w:hAnsi="Calibri" w:cs="Arial"/>
                <w:sz w:val="22"/>
                <w:szCs w:val="22"/>
              </w:rPr>
              <w:t>5</w:t>
            </w:r>
            <w:r w:rsidRPr="00F91DCE">
              <w:rPr>
                <w:rFonts w:ascii="Calibri" w:hAnsi="Calibri" w:cs="Arial"/>
                <w:sz w:val="22"/>
                <w:szCs w:val="22"/>
              </w:rPr>
              <w:t xml:space="preserve"> vs. moyenne 201</w:t>
            </w:r>
            <w:r w:rsidR="00CB0D2F" w:rsidRPr="00F91DCE">
              <w:rPr>
                <w:rFonts w:ascii="Calibri" w:hAnsi="Calibri" w:cs="Arial"/>
                <w:sz w:val="22"/>
                <w:szCs w:val="22"/>
              </w:rPr>
              <w:t>4</w:t>
            </w:r>
            <w:r w:rsidRPr="00F91DCE">
              <w:rPr>
                <w:rFonts w:ascii="Calibri" w:hAnsi="Calibri" w:cs="Arial"/>
                <w:sz w:val="22"/>
                <w:szCs w:val="22"/>
              </w:rPr>
              <w:t>-201</w:t>
            </w:r>
            <w:r w:rsidR="00CB0D2F" w:rsidRPr="00F91DCE">
              <w:rPr>
                <w:rFonts w:ascii="Calibri" w:hAnsi="Calibri" w:cs="Arial"/>
                <w:sz w:val="22"/>
                <w:szCs w:val="22"/>
              </w:rPr>
              <w:t>8</w:t>
            </w:r>
            <w:r w:rsidRPr="00F91DCE"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</w:tr>
      <w:tr w:rsidR="008049E3" w:rsidRPr="00537F8A" w:rsidTr="00D846F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9E3" w:rsidRPr="001528DA" w:rsidRDefault="008049E3" w:rsidP="008049E3">
            <w:pPr>
              <w:tabs>
                <w:tab w:val="center" w:pos="1560"/>
                <w:tab w:val="center" w:pos="7230"/>
              </w:tabs>
              <w:rPr>
                <w:rFonts w:ascii="Calibri" w:hAnsi="Calibri" w:cs="Calibri"/>
                <w:sz w:val="22"/>
                <w:szCs w:val="22"/>
              </w:rPr>
            </w:pPr>
            <w:r w:rsidRPr="001528DA">
              <w:rPr>
                <w:rFonts w:ascii="Calibri" w:hAnsi="Calibri" w:cs="Calibri"/>
                <w:sz w:val="22"/>
                <w:szCs w:val="22"/>
              </w:rPr>
              <w:t xml:space="preserve">Taux de CMA en </w:t>
            </w:r>
            <w:r>
              <w:rPr>
                <w:rFonts w:ascii="Calibri" w:hAnsi="Calibri" w:cs="Calibri"/>
                <w:sz w:val="22"/>
                <w:szCs w:val="22"/>
              </w:rPr>
              <w:t>continuité</w:t>
            </w:r>
            <w:r w:rsidRPr="001528DA">
              <w:rPr>
                <w:rFonts w:ascii="Calibri" w:hAnsi="Calibri" w:cs="Calibri"/>
                <w:sz w:val="22"/>
                <w:szCs w:val="22"/>
              </w:rPr>
              <w:t xml:space="preserve"> (à méthode de calcul identique)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9E3" w:rsidRPr="001528DA" w:rsidRDefault="008049E3" w:rsidP="00D846FA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1528DA">
              <w:rPr>
                <w:rFonts w:ascii="Calibri" w:hAnsi="Calibri" w:cs="Arial"/>
                <w:sz w:val="22"/>
                <w:szCs w:val="22"/>
              </w:rPr>
              <w:t>Taux de CMA en tenue de tension annuel de la concession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9E3" w:rsidRPr="00F91DCE" w:rsidRDefault="008049E3" w:rsidP="00D846FA">
            <w:pPr>
              <w:tabs>
                <w:tab w:val="center" w:pos="1560"/>
                <w:tab w:val="center" w:pos="7230"/>
              </w:tabs>
              <w:rPr>
                <w:rFonts w:ascii="Calibri" w:hAnsi="Calibri" w:cs="Arial"/>
                <w:sz w:val="22"/>
                <w:szCs w:val="22"/>
              </w:rPr>
            </w:pPr>
            <w:r w:rsidRPr="00F91DCE">
              <w:rPr>
                <w:rFonts w:ascii="Calibri" w:hAnsi="Calibri" w:cs="Arial"/>
                <w:sz w:val="22"/>
                <w:szCs w:val="22"/>
              </w:rPr>
              <w:t>Taux de CMA en tenue de tension de la concession (moyenne 2021-2025 vs. moyenne 2014-2018)</w:t>
            </w:r>
          </w:p>
        </w:tc>
      </w:tr>
    </w:tbl>
    <w:p w:rsidR="00BF62F6" w:rsidRPr="008C1B90" w:rsidRDefault="00BF62F6" w:rsidP="00BF62F6">
      <w:pPr>
        <w:jc w:val="both"/>
        <w:rPr>
          <w:rFonts w:ascii="Calibri" w:hAnsi="Calibri" w:cs="Arial"/>
          <w:sz w:val="22"/>
          <w:szCs w:val="22"/>
        </w:rPr>
      </w:pPr>
    </w:p>
    <w:p w:rsidR="002D41A3" w:rsidRDefault="002D41A3" w:rsidP="00BF62F6">
      <w:pPr>
        <w:jc w:val="both"/>
        <w:rPr>
          <w:rFonts w:ascii="Calibri" w:hAnsi="Calibri" w:cs="Arial"/>
          <w:sz w:val="22"/>
          <w:szCs w:val="22"/>
        </w:rPr>
      </w:pPr>
      <w:r w:rsidRPr="003916CD">
        <w:rPr>
          <w:rFonts w:ascii="Calibri" w:hAnsi="Calibri" w:cs="Arial"/>
          <w:sz w:val="22"/>
          <w:szCs w:val="22"/>
        </w:rPr>
        <w:t>Les délais de production des devis producteurs (respect des délais du catalogue de prestation) feront également l’objet d’un suivi dans le cadre du suivi technique du PPI.</w:t>
      </w:r>
    </w:p>
    <w:p w:rsidR="002D41A3" w:rsidRDefault="002D41A3" w:rsidP="00BF62F6">
      <w:pPr>
        <w:jc w:val="both"/>
        <w:rPr>
          <w:rFonts w:ascii="Calibri" w:hAnsi="Calibri" w:cs="Arial"/>
          <w:sz w:val="22"/>
          <w:szCs w:val="22"/>
        </w:rPr>
      </w:pPr>
    </w:p>
    <w:p w:rsidR="00BF62F6" w:rsidRDefault="00BF62F6" w:rsidP="00BF62F6">
      <w:pPr>
        <w:jc w:val="both"/>
        <w:rPr>
          <w:rFonts w:ascii="Calibri" w:hAnsi="Calibri" w:cs="Arial"/>
          <w:sz w:val="22"/>
          <w:szCs w:val="22"/>
        </w:rPr>
      </w:pPr>
      <w:r w:rsidRPr="008C1B90">
        <w:rPr>
          <w:rFonts w:ascii="Calibri" w:hAnsi="Calibri" w:cs="Arial"/>
          <w:sz w:val="22"/>
          <w:szCs w:val="22"/>
        </w:rPr>
        <w:t>L’évaluation des engagements du concessionnaire et de l’autorité concédante au titre du programme pluriannuel est réalisée au terme de ce dernier.</w:t>
      </w:r>
    </w:p>
    <w:p w:rsidR="00917596" w:rsidRDefault="00917596" w:rsidP="00BF62F6">
      <w:pPr>
        <w:jc w:val="both"/>
        <w:rPr>
          <w:rFonts w:ascii="Calibri" w:hAnsi="Calibri" w:cs="Arial"/>
          <w:sz w:val="22"/>
          <w:szCs w:val="22"/>
        </w:rPr>
      </w:pPr>
    </w:p>
    <w:p w:rsidR="00580202" w:rsidRPr="00E41DCD" w:rsidRDefault="00580202" w:rsidP="00580202">
      <w:pPr>
        <w:pStyle w:val="Titre2"/>
        <w:tabs>
          <w:tab w:val="left" w:pos="7410"/>
        </w:tabs>
        <w:jc w:val="both"/>
        <w:rPr>
          <w:rFonts w:ascii="Calibri" w:hAnsi="Calibri" w:cs="Calibri"/>
          <w:sz w:val="22"/>
          <w:szCs w:val="22"/>
          <w:u w:val="single"/>
        </w:rPr>
      </w:pPr>
      <w:bookmarkStart w:id="5" w:name="_Toc498975523"/>
      <w:r w:rsidRPr="00E41DCD">
        <w:rPr>
          <w:rFonts w:ascii="Calibri" w:hAnsi="Calibri" w:cs="Calibri"/>
          <w:sz w:val="22"/>
          <w:szCs w:val="22"/>
          <w:u w:val="single"/>
        </w:rPr>
        <w:t>Modalités de Suivi financier</w:t>
      </w:r>
      <w:bookmarkEnd w:id="5"/>
      <w:r w:rsidRPr="00E41DCD"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du Programme Pluriannuel d’I</w:t>
      </w:r>
      <w:r w:rsidRPr="00E41DCD">
        <w:rPr>
          <w:rFonts w:ascii="Calibri" w:hAnsi="Calibri" w:cs="Calibri"/>
          <w:sz w:val="22"/>
          <w:szCs w:val="22"/>
          <w:u w:val="single"/>
        </w:rPr>
        <w:t>nvestissements</w:t>
      </w:r>
      <w:r w:rsidR="00074109">
        <w:rPr>
          <w:rFonts w:ascii="Calibri" w:hAnsi="Calibri" w:cs="Calibri"/>
          <w:sz w:val="22"/>
          <w:szCs w:val="22"/>
          <w:u w:val="single"/>
        </w:rPr>
        <w:t> :</w:t>
      </w:r>
    </w:p>
    <w:p w:rsidR="00580202" w:rsidRPr="008630FB" w:rsidRDefault="00580202" w:rsidP="00580202">
      <w:pPr>
        <w:rPr>
          <w:rFonts w:ascii="Calibri" w:hAnsi="Calibri" w:cs="Calibri"/>
          <w:b/>
          <w:sz w:val="22"/>
          <w:szCs w:val="22"/>
        </w:rPr>
      </w:pPr>
    </w:p>
    <w:p w:rsidR="00580202" w:rsidRPr="008630FB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8630FB">
        <w:rPr>
          <w:rFonts w:ascii="Calibri" w:hAnsi="Calibri" w:cs="Calibri"/>
          <w:sz w:val="22"/>
          <w:szCs w:val="22"/>
        </w:rPr>
        <w:t>Le suivi des prévisions d’investissement sera effectué selon le tableau ci-dessous :</w:t>
      </w:r>
    </w:p>
    <w:p w:rsidR="00580202" w:rsidRPr="008630FB" w:rsidRDefault="00580202" w:rsidP="0058020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30"/>
        <w:gridCol w:w="1433"/>
        <w:gridCol w:w="1598"/>
        <w:gridCol w:w="1783"/>
      </w:tblGrid>
      <w:tr w:rsidR="00580202" w:rsidRPr="008630FB" w:rsidTr="00580202">
        <w:trPr>
          <w:trHeight w:val="567"/>
        </w:trPr>
        <w:tc>
          <w:tcPr>
            <w:tcW w:w="94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202" w:rsidRPr="008630FB" w:rsidRDefault="00580202" w:rsidP="00580202">
            <w:pPr>
              <w:pStyle w:val="Corpsdetexte21"/>
              <w:rPr>
                <w:rFonts w:ascii="Calibri" w:hAnsi="Calibri" w:cs="Calibri"/>
                <w:b w:val="0"/>
                <w:bCs/>
                <w:i/>
                <w:sz w:val="22"/>
                <w:szCs w:val="22"/>
              </w:rPr>
            </w:pPr>
            <w:r w:rsidRPr="008630FB">
              <w:rPr>
                <w:rFonts w:ascii="Calibri" w:hAnsi="Calibri" w:cs="Calibri"/>
                <w:b w:val="0"/>
                <w:bCs/>
                <w:i/>
                <w:sz w:val="22"/>
                <w:szCs w:val="22"/>
              </w:rPr>
              <w:t xml:space="preserve">Suivi année </w:t>
            </w:r>
            <w:r w:rsidR="00300F98">
              <w:rPr>
                <w:rFonts w:ascii="Calibri" w:hAnsi="Calibri" w:cs="Calibri"/>
                <w:b w:val="0"/>
                <w:bCs/>
                <w:i/>
                <w:sz w:val="22"/>
                <w:szCs w:val="22"/>
              </w:rPr>
              <w:t>N</w:t>
            </w:r>
            <w:r w:rsidRPr="008630FB">
              <w:rPr>
                <w:rFonts w:ascii="Calibri" w:hAnsi="Calibri" w:cs="Calibri"/>
                <w:b w:val="0"/>
                <w:bCs/>
                <w:i/>
                <w:sz w:val="22"/>
                <w:szCs w:val="22"/>
              </w:rPr>
              <w:t xml:space="preserve"> des dépenses d’investissement</w:t>
            </w:r>
          </w:p>
          <w:p w:rsidR="00580202" w:rsidRPr="008630FB" w:rsidRDefault="00580202" w:rsidP="008B727C">
            <w:pPr>
              <w:pStyle w:val="Corpsdetexte21"/>
              <w:rPr>
                <w:rFonts w:ascii="Calibri" w:hAnsi="Calibri" w:cs="Calibri"/>
                <w:b w:val="0"/>
                <w:bCs/>
                <w:i/>
                <w:sz w:val="22"/>
                <w:szCs w:val="22"/>
              </w:rPr>
            </w:pPr>
            <w:r w:rsidRPr="008630FB">
              <w:rPr>
                <w:rFonts w:ascii="Calibri" w:hAnsi="Calibri" w:cs="Calibri"/>
                <w:b w:val="0"/>
                <w:bCs/>
                <w:i/>
                <w:sz w:val="22"/>
                <w:szCs w:val="22"/>
              </w:rPr>
              <w:t>du gestionnaire de réseau de distribution dans le cadre du PPI</w:t>
            </w:r>
            <w:r w:rsidR="00FB2BC6">
              <w:rPr>
                <w:rFonts w:ascii="Calibri" w:hAnsi="Calibri" w:cs="Calibri"/>
                <w:b w:val="0"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580202" w:rsidRPr="00F139AA" w:rsidTr="008D3B32"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202" w:rsidRPr="00F139AA" w:rsidRDefault="00580202" w:rsidP="00580202">
            <w:pPr>
              <w:pStyle w:val="Corpsdetexte21"/>
              <w:rPr>
                <w:rFonts w:ascii="Calibri" w:hAnsi="Calibri" w:cs="Calibri"/>
                <w:bCs/>
                <w:i/>
                <w:color w:val="auto"/>
                <w:sz w:val="22"/>
                <w:szCs w:val="22"/>
              </w:rPr>
            </w:pPr>
            <w:r w:rsidRPr="00F139AA">
              <w:rPr>
                <w:rFonts w:ascii="Calibri" w:hAnsi="Calibri" w:cs="Calibri"/>
                <w:bCs/>
                <w:i/>
                <w:color w:val="auto"/>
                <w:sz w:val="22"/>
                <w:szCs w:val="22"/>
              </w:rPr>
              <w:t>Investissements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580202" w:rsidRPr="00F139AA" w:rsidRDefault="00580202" w:rsidP="00580202">
            <w:pPr>
              <w:pStyle w:val="Corpsdetexte21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 w:rsidRPr="00F139A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Total prévisions d’investissements PPI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580202" w:rsidRPr="00F139AA" w:rsidRDefault="00580202" w:rsidP="00827BEF">
            <w:pPr>
              <w:pStyle w:val="Corpsdetexte21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 w:rsidRPr="00F139A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Réalisé de l’année </w:t>
            </w:r>
            <w:r w:rsidR="00827BEF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N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580202" w:rsidRPr="00F139AA" w:rsidRDefault="00580202" w:rsidP="00827BEF">
            <w:pPr>
              <w:pStyle w:val="Corpsdetexte21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 w:rsidRPr="00F139A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Réalisé en cumulé à fin d’année </w:t>
            </w:r>
            <w:r w:rsidR="00827BEF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N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580202" w:rsidRPr="00F139AA" w:rsidRDefault="00580202" w:rsidP="00580202">
            <w:pPr>
              <w:pStyle w:val="Corpsdetexte21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 w:rsidRPr="00F139A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Commentaires</w:t>
            </w:r>
          </w:p>
        </w:tc>
      </w:tr>
      <w:tr w:rsidR="00580202" w:rsidRPr="00F139AA" w:rsidTr="008D3B3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34395" w:rsidRDefault="008D3B32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 xml:space="preserve">Renforcement HTA          </w:t>
            </w:r>
            <w:r w:rsidR="00F34395"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F34395" w:rsidP="00F34395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0</w:t>
            </w:r>
            <w:r w:rsidR="00827BEF">
              <w:rPr>
                <w:rFonts w:ascii="Calibri" w:hAnsi="Calibri" w:cs="Calibri"/>
                <w:bCs/>
                <w:i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2</w:t>
            </w:r>
            <w:r w:rsidR="00580202" w:rsidRPr="00F139AA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M€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F34395" w:rsidRPr="00F139AA" w:rsidTr="008D3B3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395" w:rsidRDefault="00F34395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>Renforcement BT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395" w:rsidRDefault="00F34395" w:rsidP="0061603F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0,</w:t>
            </w:r>
            <w:r w:rsidR="0061603F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5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M€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395" w:rsidRPr="00F139AA" w:rsidRDefault="00F34395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395" w:rsidRPr="00F139AA" w:rsidRDefault="00F34395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395" w:rsidRPr="00F139AA" w:rsidRDefault="00F34395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580202" w:rsidRPr="00F139AA" w:rsidTr="008D3B3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F34395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>Modernisation des réseaux HTA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61603F" w:rsidP="00F34395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9,1</w:t>
            </w:r>
            <w:r w:rsidR="00827BEF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</w:t>
            </w:r>
            <w:r w:rsidR="00580202" w:rsidRPr="00F139AA">
              <w:rPr>
                <w:rFonts w:ascii="Calibri" w:hAnsi="Calibri" w:cs="Calibri"/>
                <w:bCs/>
                <w:i/>
                <w:sz w:val="22"/>
                <w:szCs w:val="22"/>
              </w:rPr>
              <w:t>M€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8D3B32" w:rsidRPr="00F139AA" w:rsidTr="008D3B3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B32" w:rsidRPr="00F139AA" w:rsidRDefault="00F34395" w:rsidP="00F34395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  <w:r w:rsidRPr="00F139AA"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 xml:space="preserve">Modernisation des réseaux </w:t>
            </w:r>
            <w:r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  <w:t>BT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B32" w:rsidRDefault="0061603F" w:rsidP="00F34395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2,4</w:t>
            </w:r>
            <w:r w:rsidR="00F34395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M€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B32" w:rsidRPr="00F139AA" w:rsidRDefault="008D3B3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B32" w:rsidRPr="00F139AA" w:rsidRDefault="008D3B3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B32" w:rsidRPr="00F139AA" w:rsidRDefault="008D3B3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580202" w:rsidRPr="00F139AA" w:rsidTr="008D3B32">
        <w:tc>
          <w:tcPr>
            <w:tcW w:w="3119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Corpsdetexte21"/>
              <w:jc w:val="left"/>
              <w:rPr>
                <w:rFonts w:ascii="Calibri" w:hAnsi="Calibri" w:cs="Calibri"/>
                <w:b w:val="0"/>
                <w:bCs/>
                <w:i/>
                <w:color w:val="aut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580202" w:rsidRPr="00F139AA" w:rsidTr="00580202"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D9D9D9"/>
            <w:vAlign w:val="center"/>
          </w:tcPr>
          <w:p w:rsidR="00580202" w:rsidRPr="008836F7" w:rsidRDefault="00580202" w:rsidP="00580202">
            <w:pPr>
              <w:pStyle w:val="Corpsdetexte21"/>
              <w:jc w:val="left"/>
              <w:rPr>
                <w:rFonts w:ascii="Calibri" w:hAnsi="Calibri" w:cs="Calibri"/>
                <w:bCs/>
                <w:i/>
                <w:color w:val="auto"/>
                <w:sz w:val="22"/>
                <w:szCs w:val="22"/>
              </w:rPr>
            </w:pPr>
            <w:r w:rsidRPr="008836F7">
              <w:rPr>
                <w:rFonts w:ascii="Calibri" w:hAnsi="Calibri" w:cs="Calibri"/>
                <w:bCs/>
                <w:i/>
                <w:color w:val="auto"/>
                <w:sz w:val="22"/>
                <w:szCs w:val="22"/>
              </w:rPr>
              <w:t xml:space="preserve">Engagement financier total </w:t>
            </w:r>
          </w:p>
        </w:tc>
        <w:tc>
          <w:tcPr>
            <w:tcW w:w="153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  <w:vAlign w:val="center"/>
          </w:tcPr>
          <w:p w:rsidR="00580202" w:rsidRPr="00F139AA" w:rsidRDefault="0061603F" w:rsidP="00827BEF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12,2</w:t>
            </w:r>
            <w:r w:rsidR="00580202" w:rsidRPr="00F139AA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 M€</w:t>
            </w:r>
          </w:p>
        </w:tc>
        <w:tc>
          <w:tcPr>
            <w:tcW w:w="14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580202" w:rsidRPr="00F139AA" w:rsidRDefault="00580202" w:rsidP="0058020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</w:tr>
    </w:tbl>
    <w:p w:rsidR="00580202" w:rsidRDefault="00580202" w:rsidP="00580202">
      <w:pPr>
        <w:rPr>
          <w:rFonts w:ascii="Calibri" w:hAnsi="Calibri" w:cs="Calibri"/>
          <w:i/>
          <w:sz w:val="22"/>
          <w:szCs w:val="22"/>
        </w:rPr>
      </w:pPr>
    </w:p>
    <w:p w:rsidR="00FB2BC6" w:rsidRPr="008630FB" w:rsidRDefault="00FB2BC6" w:rsidP="00580202">
      <w:pPr>
        <w:rPr>
          <w:rFonts w:ascii="Calibri" w:hAnsi="Calibri" w:cs="Calibri"/>
          <w:i/>
          <w:sz w:val="22"/>
          <w:szCs w:val="22"/>
        </w:rPr>
      </w:pPr>
    </w:p>
    <w:p w:rsidR="00580202" w:rsidRPr="006E75BA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6E75BA">
        <w:rPr>
          <w:rFonts w:ascii="Calibri" w:hAnsi="Calibri" w:cs="Calibri"/>
          <w:sz w:val="22"/>
          <w:szCs w:val="22"/>
        </w:rPr>
        <w:t>L’évaluation de l’engagement financier du concessionnaire au titre du programme pluriannuel est réalisée au terme de ce dernier.</w:t>
      </w:r>
    </w:p>
    <w:p w:rsidR="00580202" w:rsidRPr="006E75BA" w:rsidRDefault="00580202" w:rsidP="00580202">
      <w:pPr>
        <w:jc w:val="both"/>
        <w:rPr>
          <w:rFonts w:ascii="Calibri" w:hAnsi="Calibri" w:cs="Calibri"/>
          <w:sz w:val="22"/>
          <w:szCs w:val="22"/>
        </w:rPr>
      </w:pPr>
    </w:p>
    <w:p w:rsidR="00580202" w:rsidRPr="006E75BA" w:rsidRDefault="00580202" w:rsidP="00580202">
      <w:pPr>
        <w:jc w:val="both"/>
        <w:rPr>
          <w:rFonts w:ascii="Calibri" w:hAnsi="Calibri" w:cs="Calibri"/>
          <w:sz w:val="22"/>
          <w:szCs w:val="22"/>
        </w:rPr>
      </w:pPr>
      <w:r w:rsidRPr="006E75BA">
        <w:rPr>
          <w:rFonts w:ascii="Calibri" w:hAnsi="Calibri" w:cs="Calibri"/>
          <w:sz w:val="22"/>
          <w:szCs w:val="22"/>
        </w:rPr>
        <w:t>Comme précisé ci-dessus, la ventilation présentée dans le tableau, ci-dessus, peut être amenée à évoluer en fonction d’éléments conjoncturels (ex. : aléas climatiques, réglementation) ou structurels (ex. : politiques techniques, retours d’expérience).</w:t>
      </w:r>
    </w:p>
    <w:p w:rsidR="00580202" w:rsidRPr="008630FB" w:rsidRDefault="00580202" w:rsidP="00580202">
      <w:pPr>
        <w:overflowPunct/>
        <w:autoSpaceDE/>
        <w:adjustRightInd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914011" w:rsidRDefault="00914011"/>
    <w:sectPr w:rsidR="00914011" w:rsidSect="00580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1021" w:right="1134" w:bottom="1134" w:left="1134" w:header="709" w:footer="567" w:gutter="28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20D" w:rsidRDefault="00CC020D">
      <w:r>
        <w:separator/>
      </w:r>
    </w:p>
  </w:endnote>
  <w:endnote w:type="continuationSeparator" w:id="0">
    <w:p w:rsidR="00CC020D" w:rsidRDefault="00CC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202" w:rsidRPr="00CF010A" w:rsidRDefault="00580202" w:rsidP="00580202">
    <w:pPr>
      <w:tabs>
        <w:tab w:val="right" w:pos="9356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Modèle de cahier des charges</w:t>
    </w:r>
    <w:r w:rsidRPr="00CF010A">
      <w:rPr>
        <w:rFonts w:ascii="Arial" w:hAnsi="Arial" w:cs="Arial"/>
        <w:sz w:val="16"/>
        <w:szCs w:val="16"/>
      </w:rPr>
      <w:t xml:space="preserve"> - </w:t>
    </w:r>
    <w:r>
      <w:rPr>
        <w:rFonts w:ascii="Arial" w:hAnsi="Arial" w:cs="Arial"/>
        <w:sz w:val="16"/>
        <w:szCs w:val="16"/>
      </w:rPr>
      <w:t xml:space="preserve"> Annexe 2 – 5 juillet 2017</w:t>
    </w:r>
    <w:r w:rsidRPr="00CF010A">
      <w:rPr>
        <w:rFonts w:ascii="Arial" w:hAnsi="Arial" w:cs="Arial"/>
        <w:sz w:val="16"/>
        <w:szCs w:val="16"/>
      </w:rPr>
      <w:tab/>
    </w:r>
    <w:r w:rsidRPr="00CF010A">
      <w:rPr>
        <w:rFonts w:ascii="Arial" w:hAnsi="Arial" w:cs="Arial"/>
        <w:sz w:val="16"/>
        <w:szCs w:val="16"/>
      </w:rPr>
      <w:fldChar w:fldCharType="begin"/>
    </w:r>
    <w:r w:rsidRPr="00CF010A">
      <w:rPr>
        <w:rFonts w:ascii="Arial" w:hAnsi="Arial" w:cs="Arial"/>
        <w:sz w:val="16"/>
        <w:szCs w:val="16"/>
      </w:rPr>
      <w:instrText xml:space="preserve"> PAGE </w:instrText>
    </w:r>
    <w:r w:rsidRPr="00CF010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8</w:t>
    </w:r>
    <w:r w:rsidRPr="00CF010A">
      <w:rPr>
        <w:rFonts w:ascii="Arial" w:hAnsi="Arial" w:cs="Arial"/>
        <w:sz w:val="16"/>
        <w:szCs w:val="16"/>
      </w:rPr>
      <w:fldChar w:fldCharType="end"/>
    </w:r>
    <w:r w:rsidRPr="00CF010A">
      <w:rPr>
        <w:rFonts w:ascii="Arial" w:hAnsi="Arial" w:cs="Arial"/>
        <w:sz w:val="16"/>
        <w:szCs w:val="16"/>
      </w:rPr>
      <w:t>/</w:t>
    </w:r>
    <w:r w:rsidRPr="00CF010A">
      <w:rPr>
        <w:rFonts w:ascii="Arial" w:hAnsi="Arial" w:cs="Arial"/>
        <w:sz w:val="16"/>
        <w:szCs w:val="16"/>
      </w:rPr>
      <w:fldChar w:fldCharType="begin"/>
    </w:r>
    <w:r w:rsidRPr="00CF010A">
      <w:rPr>
        <w:rFonts w:ascii="Arial" w:hAnsi="Arial" w:cs="Arial"/>
        <w:sz w:val="16"/>
        <w:szCs w:val="16"/>
      </w:rPr>
      <w:instrText xml:space="preserve"> NUMPAGES  </w:instrText>
    </w:r>
    <w:r w:rsidRPr="00CF010A">
      <w:rPr>
        <w:rFonts w:ascii="Arial" w:hAnsi="Arial" w:cs="Arial"/>
        <w:sz w:val="16"/>
        <w:szCs w:val="16"/>
      </w:rPr>
      <w:fldChar w:fldCharType="separate"/>
    </w:r>
    <w:r w:rsidR="001A2F55">
      <w:rPr>
        <w:rFonts w:ascii="Arial" w:hAnsi="Arial" w:cs="Arial"/>
        <w:noProof/>
        <w:sz w:val="16"/>
        <w:szCs w:val="16"/>
      </w:rPr>
      <w:t>5</w:t>
    </w:r>
    <w:r w:rsidRPr="00CF010A">
      <w:rPr>
        <w:rFonts w:ascii="Arial" w:hAnsi="Arial" w:cs="Arial"/>
        <w:sz w:val="16"/>
        <w:szCs w:val="16"/>
      </w:rPr>
      <w:fldChar w:fldCharType="end"/>
    </w:r>
  </w:p>
  <w:p w:rsidR="00580202" w:rsidRDefault="00580202">
    <w:pPr>
      <w:pStyle w:val="Pieddepage"/>
      <w:tabs>
        <w:tab w:val="clear" w:pos="4536"/>
        <w:tab w:val="clear" w:pos="9072"/>
        <w:tab w:val="right" w:pos="9356"/>
      </w:tabs>
    </w:pPr>
    <w:r w:rsidDel="005B1D10">
      <w:rPr>
        <w:rFonts w:ascii="Arial" w:hAnsi="Arial" w:cs="Arial"/>
        <w:sz w:val="16"/>
        <w:szCs w:val="16"/>
      </w:rPr>
      <w:t xml:space="preserve"> </w:t>
    </w:r>
    <w:r w:rsidDel="00FA7C3A">
      <w:rPr>
        <w:rFonts w:ascii="Arial" w:hAnsi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18" w:rsidRPr="00A575DE" w:rsidRDefault="000D598D" w:rsidP="000E5C18">
    <w:pPr>
      <w:tabs>
        <w:tab w:val="right" w:pos="9356"/>
      </w:tabs>
      <w:spacing w:before="120"/>
      <w:rPr>
        <w:sz w:val="18"/>
        <w:szCs w:val="16"/>
      </w:rPr>
    </w:pPr>
    <w:r>
      <w:rPr>
        <w:sz w:val="18"/>
        <w:szCs w:val="16"/>
      </w:rPr>
      <w:t>SYDED</w:t>
    </w:r>
    <w:r w:rsidR="000E5C18" w:rsidRPr="00D96027">
      <w:rPr>
        <w:sz w:val="18"/>
        <w:szCs w:val="16"/>
      </w:rPr>
      <w:t xml:space="preserve"> – Cahier des charges - Annexe 2</w:t>
    </w:r>
    <w:r w:rsidR="000E5C18">
      <w:rPr>
        <w:sz w:val="18"/>
        <w:szCs w:val="16"/>
      </w:rPr>
      <w:t xml:space="preserve">B </w:t>
    </w:r>
    <w:r w:rsidR="000E5C18" w:rsidRPr="00D96027">
      <w:rPr>
        <w:sz w:val="18"/>
        <w:szCs w:val="16"/>
      </w:rPr>
      <w:tab/>
    </w:r>
    <w:r w:rsidR="000E5C18" w:rsidRPr="00D96027">
      <w:rPr>
        <w:sz w:val="18"/>
        <w:szCs w:val="16"/>
      </w:rPr>
      <w:fldChar w:fldCharType="begin"/>
    </w:r>
    <w:r w:rsidR="000E5C18" w:rsidRPr="00D96027">
      <w:rPr>
        <w:sz w:val="18"/>
        <w:szCs w:val="16"/>
      </w:rPr>
      <w:instrText xml:space="preserve"> PAGE </w:instrText>
    </w:r>
    <w:r w:rsidR="000E5C18" w:rsidRPr="00D96027">
      <w:rPr>
        <w:sz w:val="18"/>
        <w:szCs w:val="16"/>
      </w:rPr>
      <w:fldChar w:fldCharType="separate"/>
    </w:r>
    <w:r w:rsidR="001A2F55">
      <w:rPr>
        <w:noProof/>
        <w:sz w:val="18"/>
        <w:szCs w:val="16"/>
      </w:rPr>
      <w:t>4</w:t>
    </w:r>
    <w:r w:rsidR="000E5C18" w:rsidRPr="00D96027">
      <w:rPr>
        <w:sz w:val="18"/>
        <w:szCs w:val="16"/>
      </w:rPr>
      <w:fldChar w:fldCharType="end"/>
    </w:r>
    <w:r w:rsidR="000E5C18" w:rsidRPr="00D96027">
      <w:rPr>
        <w:sz w:val="18"/>
        <w:szCs w:val="16"/>
      </w:rPr>
      <w:t>/</w:t>
    </w:r>
    <w:r w:rsidR="000E5C18" w:rsidRPr="00D96027">
      <w:rPr>
        <w:sz w:val="18"/>
        <w:szCs w:val="16"/>
      </w:rPr>
      <w:fldChar w:fldCharType="begin"/>
    </w:r>
    <w:r w:rsidR="000E5C18" w:rsidRPr="00D96027">
      <w:rPr>
        <w:sz w:val="18"/>
        <w:szCs w:val="16"/>
      </w:rPr>
      <w:instrText xml:space="preserve"> NUMPAGES  </w:instrText>
    </w:r>
    <w:r w:rsidR="000E5C18" w:rsidRPr="00D96027">
      <w:rPr>
        <w:sz w:val="18"/>
        <w:szCs w:val="16"/>
      </w:rPr>
      <w:fldChar w:fldCharType="separate"/>
    </w:r>
    <w:r w:rsidR="001A2F55">
      <w:rPr>
        <w:noProof/>
        <w:sz w:val="18"/>
        <w:szCs w:val="16"/>
      </w:rPr>
      <w:t>5</w:t>
    </w:r>
    <w:r w:rsidR="000E5C18" w:rsidRPr="00D96027">
      <w:rPr>
        <w:sz w:val="18"/>
        <w:szCs w:val="16"/>
      </w:rPr>
      <w:fldChar w:fldCharType="end"/>
    </w:r>
  </w:p>
  <w:p w:rsidR="00580202" w:rsidRDefault="00580202" w:rsidP="00580202">
    <w:pPr>
      <w:tabs>
        <w:tab w:val="right" w:pos="9356"/>
      </w:tabs>
      <w:spacing w:before="120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05" w:rsidRPr="00A575DE" w:rsidRDefault="000D598D" w:rsidP="00CC1105">
    <w:pPr>
      <w:tabs>
        <w:tab w:val="right" w:pos="9356"/>
      </w:tabs>
      <w:spacing w:before="120"/>
      <w:rPr>
        <w:sz w:val="18"/>
        <w:szCs w:val="16"/>
      </w:rPr>
    </w:pPr>
    <w:r>
      <w:rPr>
        <w:sz w:val="18"/>
        <w:szCs w:val="16"/>
      </w:rPr>
      <w:t>SYDED</w:t>
    </w:r>
    <w:r w:rsidR="00CC1105" w:rsidRPr="00D96027">
      <w:rPr>
        <w:sz w:val="18"/>
        <w:szCs w:val="16"/>
      </w:rPr>
      <w:t xml:space="preserve"> – Cahier des charges - Annexe 2</w:t>
    </w:r>
    <w:r w:rsidR="00CC1105">
      <w:rPr>
        <w:sz w:val="18"/>
        <w:szCs w:val="16"/>
      </w:rPr>
      <w:t>B</w:t>
    </w:r>
    <w:r w:rsidR="00CC1105" w:rsidRPr="00D96027">
      <w:rPr>
        <w:sz w:val="18"/>
        <w:szCs w:val="16"/>
      </w:rPr>
      <w:tab/>
    </w:r>
    <w:r w:rsidR="00CC1105" w:rsidRPr="00D96027">
      <w:rPr>
        <w:sz w:val="18"/>
        <w:szCs w:val="16"/>
      </w:rPr>
      <w:fldChar w:fldCharType="begin"/>
    </w:r>
    <w:r w:rsidR="00CC1105" w:rsidRPr="00D96027">
      <w:rPr>
        <w:sz w:val="18"/>
        <w:szCs w:val="16"/>
      </w:rPr>
      <w:instrText xml:space="preserve"> PAGE </w:instrText>
    </w:r>
    <w:r w:rsidR="00CC1105" w:rsidRPr="00D96027">
      <w:rPr>
        <w:sz w:val="18"/>
        <w:szCs w:val="16"/>
      </w:rPr>
      <w:fldChar w:fldCharType="separate"/>
    </w:r>
    <w:r w:rsidR="001A2F55">
      <w:rPr>
        <w:noProof/>
        <w:sz w:val="18"/>
        <w:szCs w:val="16"/>
      </w:rPr>
      <w:t>1</w:t>
    </w:r>
    <w:r w:rsidR="00CC1105" w:rsidRPr="00D96027">
      <w:rPr>
        <w:sz w:val="18"/>
        <w:szCs w:val="16"/>
      </w:rPr>
      <w:fldChar w:fldCharType="end"/>
    </w:r>
    <w:r w:rsidR="00CC1105" w:rsidRPr="00D96027">
      <w:rPr>
        <w:sz w:val="18"/>
        <w:szCs w:val="16"/>
      </w:rPr>
      <w:t>/</w:t>
    </w:r>
    <w:r w:rsidR="00CC1105" w:rsidRPr="00D96027">
      <w:rPr>
        <w:sz w:val="18"/>
        <w:szCs w:val="16"/>
      </w:rPr>
      <w:fldChar w:fldCharType="begin"/>
    </w:r>
    <w:r w:rsidR="00CC1105" w:rsidRPr="00D96027">
      <w:rPr>
        <w:sz w:val="18"/>
        <w:szCs w:val="16"/>
      </w:rPr>
      <w:instrText xml:space="preserve"> NUMPAGES  </w:instrText>
    </w:r>
    <w:r w:rsidR="00CC1105" w:rsidRPr="00D96027">
      <w:rPr>
        <w:sz w:val="18"/>
        <w:szCs w:val="16"/>
      </w:rPr>
      <w:fldChar w:fldCharType="separate"/>
    </w:r>
    <w:r w:rsidR="001A2F55">
      <w:rPr>
        <w:noProof/>
        <w:sz w:val="18"/>
        <w:szCs w:val="16"/>
      </w:rPr>
      <w:t>5</w:t>
    </w:r>
    <w:r w:rsidR="00CC1105" w:rsidRPr="00D96027">
      <w:rPr>
        <w:sz w:val="18"/>
        <w:szCs w:val="16"/>
      </w:rPr>
      <w:fldChar w:fldCharType="end"/>
    </w:r>
  </w:p>
  <w:p w:rsidR="00580202" w:rsidRDefault="00580202">
    <w:pPr>
      <w:pStyle w:val="Pieddepage"/>
      <w:tabs>
        <w:tab w:val="clear" w:pos="4536"/>
        <w:tab w:val="clear" w:pos="9072"/>
        <w:tab w:val="right" w:pos="9356"/>
      </w:tabs>
      <w:jc w:val="both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20D" w:rsidRDefault="00CC020D">
      <w:r>
        <w:separator/>
      </w:r>
    </w:p>
  </w:footnote>
  <w:footnote w:type="continuationSeparator" w:id="0">
    <w:p w:rsidR="00CC020D" w:rsidRDefault="00CC0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05" w:rsidRDefault="00CC11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05" w:rsidRDefault="00CC110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05" w:rsidRDefault="00CC1105" w:rsidP="006162B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43FE"/>
    <w:multiLevelType w:val="hybridMultilevel"/>
    <w:tmpl w:val="E9364A96"/>
    <w:lvl w:ilvl="0" w:tplc="06F09D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C7774"/>
    <w:multiLevelType w:val="hybridMultilevel"/>
    <w:tmpl w:val="EF66C39C"/>
    <w:lvl w:ilvl="0" w:tplc="43BA846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65A6"/>
    <w:multiLevelType w:val="hybridMultilevel"/>
    <w:tmpl w:val="52D08534"/>
    <w:lvl w:ilvl="0" w:tplc="16BEDB44">
      <w:start w:val="9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2695F"/>
    <w:multiLevelType w:val="hybridMultilevel"/>
    <w:tmpl w:val="8E10781E"/>
    <w:lvl w:ilvl="0" w:tplc="DC5658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C1771"/>
    <w:multiLevelType w:val="hybridMultilevel"/>
    <w:tmpl w:val="C0144822"/>
    <w:lvl w:ilvl="0" w:tplc="47D4273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81B36"/>
    <w:multiLevelType w:val="hybridMultilevel"/>
    <w:tmpl w:val="3876785C"/>
    <w:lvl w:ilvl="0" w:tplc="0278F17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103737"/>
    <w:multiLevelType w:val="hybridMultilevel"/>
    <w:tmpl w:val="EC50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87307"/>
    <w:multiLevelType w:val="hybridMultilevel"/>
    <w:tmpl w:val="C0144822"/>
    <w:lvl w:ilvl="0" w:tplc="47D4273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04D2"/>
    <w:multiLevelType w:val="hybridMultilevel"/>
    <w:tmpl w:val="7A84BD90"/>
    <w:lvl w:ilvl="0" w:tplc="E40EAFD8">
      <w:start w:val="10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89634F"/>
    <w:multiLevelType w:val="hybridMultilevel"/>
    <w:tmpl w:val="DBD62742"/>
    <w:lvl w:ilvl="0" w:tplc="F954C2E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08196B"/>
    <w:multiLevelType w:val="hybridMultilevel"/>
    <w:tmpl w:val="CB425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E02B2"/>
    <w:multiLevelType w:val="hybridMultilevel"/>
    <w:tmpl w:val="01D80710"/>
    <w:lvl w:ilvl="0" w:tplc="CD2224EE">
      <w:start w:val="9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11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202"/>
    <w:rsid w:val="0001058A"/>
    <w:rsid w:val="00013ACD"/>
    <w:rsid w:val="00017BA0"/>
    <w:rsid w:val="000703D8"/>
    <w:rsid w:val="00074109"/>
    <w:rsid w:val="00086DB1"/>
    <w:rsid w:val="000D598D"/>
    <w:rsid w:val="000E5C18"/>
    <w:rsid w:val="000E6382"/>
    <w:rsid w:val="00117BD7"/>
    <w:rsid w:val="001326F6"/>
    <w:rsid w:val="00135F82"/>
    <w:rsid w:val="00142D46"/>
    <w:rsid w:val="001528DA"/>
    <w:rsid w:val="001663C4"/>
    <w:rsid w:val="00171A9A"/>
    <w:rsid w:val="00176ACE"/>
    <w:rsid w:val="00181DB0"/>
    <w:rsid w:val="001A2F55"/>
    <w:rsid w:val="001F4B2A"/>
    <w:rsid w:val="00290918"/>
    <w:rsid w:val="002B78AA"/>
    <w:rsid w:val="002D41A3"/>
    <w:rsid w:val="002E1E82"/>
    <w:rsid w:val="002E3CC5"/>
    <w:rsid w:val="002E545D"/>
    <w:rsid w:val="002F4D6F"/>
    <w:rsid w:val="00300F98"/>
    <w:rsid w:val="0030799C"/>
    <w:rsid w:val="00307B7A"/>
    <w:rsid w:val="00323133"/>
    <w:rsid w:val="003274FE"/>
    <w:rsid w:val="00362E3D"/>
    <w:rsid w:val="00382152"/>
    <w:rsid w:val="00390644"/>
    <w:rsid w:val="0039079A"/>
    <w:rsid w:val="003916CD"/>
    <w:rsid w:val="00395660"/>
    <w:rsid w:val="003A1122"/>
    <w:rsid w:val="003B40DA"/>
    <w:rsid w:val="003C2AC3"/>
    <w:rsid w:val="003F12C1"/>
    <w:rsid w:val="00414E34"/>
    <w:rsid w:val="00434D57"/>
    <w:rsid w:val="00441366"/>
    <w:rsid w:val="00442000"/>
    <w:rsid w:val="004C7773"/>
    <w:rsid w:val="00501D09"/>
    <w:rsid w:val="00503383"/>
    <w:rsid w:val="00510AD5"/>
    <w:rsid w:val="0051702F"/>
    <w:rsid w:val="005241B9"/>
    <w:rsid w:val="005252B7"/>
    <w:rsid w:val="00530344"/>
    <w:rsid w:val="005671AD"/>
    <w:rsid w:val="00571F4A"/>
    <w:rsid w:val="00580202"/>
    <w:rsid w:val="005A7762"/>
    <w:rsid w:val="005C26CD"/>
    <w:rsid w:val="005C4501"/>
    <w:rsid w:val="005E2F41"/>
    <w:rsid w:val="006006B0"/>
    <w:rsid w:val="006122AE"/>
    <w:rsid w:val="006149BA"/>
    <w:rsid w:val="0061603F"/>
    <w:rsid w:val="006162BF"/>
    <w:rsid w:val="00666BBE"/>
    <w:rsid w:val="0068068F"/>
    <w:rsid w:val="006A1B30"/>
    <w:rsid w:val="006C454C"/>
    <w:rsid w:val="00744FF7"/>
    <w:rsid w:val="00763646"/>
    <w:rsid w:val="00790A5A"/>
    <w:rsid w:val="007C3641"/>
    <w:rsid w:val="007F30BE"/>
    <w:rsid w:val="008049E3"/>
    <w:rsid w:val="00827BEF"/>
    <w:rsid w:val="008A3278"/>
    <w:rsid w:val="008B727C"/>
    <w:rsid w:val="008C1B90"/>
    <w:rsid w:val="008C65F4"/>
    <w:rsid w:val="008D3B32"/>
    <w:rsid w:val="008F204F"/>
    <w:rsid w:val="00914011"/>
    <w:rsid w:val="00917596"/>
    <w:rsid w:val="00932186"/>
    <w:rsid w:val="00933C01"/>
    <w:rsid w:val="00936DBC"/>
    <w:rsid w:val="0096350A"/>
    <w:rsid w:val="00993F99"/>
    <w:rsid w:val="009A3F95"/>
    <w:rsid w:val="009C42C9"/>
    <w:rsid w:val="009C4A1E"/>
    <w:rsid w:val="009D1F36"/>
    <w:rsid w:val="009F140C"/>
    <w:rsid w:val="00A42BE9"/>
    <w:rsid w:val="00A43541"/>
    <w:rsid w:val="00A97FA8"/>
    <w:rsid w:val="00AB4FBB"/>
    <w:rsid w:val="00AE2219"/>
    <w:rsid w:val="00AE3DF2"/>
    <w:rsid w:val="00B04F58"/>
    <w:rsid w:val="00B2359F"/>
    <w:rsid w:val="00B43BAC"/>
    <w:rsid w:val="00B712AA"/>
    <w:rsid w:val="00B83ABA"/>
    <w:rsid w:val="00BA73F5"/>
    <w:rsid w:val="00BB623A"/>
    <w:rsid w:val="00BC2656"/>
    <w:rsid w:val="00BE6FFB"/>
    <w:rsid w:val="00BF62F6"/>
    <w:rsid w:val="00C27A01"/>
    <w:rsid w:val="00C36BAE"/>
    <w:rsid w:val="00C406E9"/>
    <w:rsid w:val="00C45308"/>
    <w:rsid w:val="00C93953"/>
    <w:rsid w:val="00CB0D2F"/>
    <w:rsid w:val="00CB5D31"/>
    <w:rsid w:val="00CC020D"/>
    <w:rsid w:val="00CC1105"/>
    <w:rsid w:val="00CC1581"/>
    <w:rsid w:val="00D1231C"/>
    <w:rsid w:val="00DE652A"/>
    <w:rsid w:val="00E01B12"/>
    <w:rsid w:val="00E05E92"/>
    <w:rsid w:val="00E15867"/>
    <w:rsid w:val="00E22DE1"/>
    <w:rsid w:val="00E451AF"/>
    <w:rsid w:val="00E50B15"/>
    <w:rsid w:val="00E571B8"/>
    <w:rsid w:val="00E623D2"/>
    <w:rsid w:val="00EA1495"/>
    <w:rsid w:val="00EA2380"/>
    <w:rsid w:val="00ED79C2"/>
    <w:rsid w:val="00EF41FB"/>
    <w:rsid w:val="00F04DB7"/>
    <w:rsid w:val="00F34395"/>
    <w:rsid w:val="00F3745F"/>
    <w:rsid w:val="00F91DCE"/>
    <w:rsid w:val="00FB2BC6"/>
    <w:rsid w:val="00FB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5B609F"/>
  <w15:chartTrackingRefBased/>
  <w15:docId w15:val="{6311CF71-6C12-45C6-8A0A-C5B4A3F1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20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80202"/>
    <w:pPr>
      <w:keepNext/>
      <w:keepLines/>
      <w:overflowPunct/>
      <w:autoSpaceDE/>
      <w:autoSpaceDN/>
      <w:adjustRightInd/>
      <w:spacing w:before="480" w:line="276" w:lineRule="auto"/>
      <w:jc w:val="both"/>
      <w:textAlignment w:val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80202"/>
    <w:pPr>
      <w:keepNext/>
      <w:tabs>
        <w:tab w:val="left" w:pos="1120"/>
      </w:tabs>
      <w:ind w:right="8"/>
      <w:jc w:val="center"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80202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character" w:customStyle="1" w:styleId="Titre2Car">
    <w:name w:val="Titre 2 Car"/>
    <w:link w:val="Titre2"/>
    <w:rsid w:val="00580202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802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8020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580202"/>
    <w:pPr>
      <w:jc w:val="center"/>
    </w:pPr>
    <w:rPr>
      <w:b/>
      <w:color w:val="000000"/>
      <w:sz w:val="24"/>
    </w:rPr>
  </w:style>
  <w:style w:type="paragraph" w:styleId="NormalWeb">
    <w:name w:val="Normal (Web)"/>
    <w:basedOn w:val="Normal"/>
    <w:uiPriority w:val="99"/>
    <w:unhideWhenUsed/>
    <w:rsid w:val="00580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C110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C1105"/>
    <w:rPr>
      <w:rFonts w:ascii="Times New Roman" w:eastAsia="Times New Roman" w:hAnsi="Times New Roman"/>
    </w:rPr>
  </w:style>
  <w:style w:type="table" w:styleId="Grilledutableau">
    <w:name w:val="Table Grid"/>
    <w:basedOn w:val="TableauNormal"/>
    <w:uiPriority w:val="39"/>
    <w:rsid w:val="00395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1326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E451A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E451AF"/>
    <w:rPr>
      <w:rFonts w:ascii="Times New Roman" w:eastAsia="Times New Roman" w:hAnsi="Times New Roman"/>
    </w:rPr>
  </w:style>
  <w:style w:type="character" w:styleId="Appelnotedebasdep">
    <w:name w:val="footnote reference"/>
    <w:uiPriority w:val="99"/>
    <w:semiHidden/>
    <w:rsid w:val="00414E34"/>
    <w:rPr>
      <w:vertAlign w:val="superscript"/>
    </w:rPr>
  </w:style>
  <w:style w:type="paragraph" w:styleId="Notedebasdepage">
    <w:name w:val="footnote text"/>
    <w:basedOn w:val="Normal"/>
    <w:link w:val="NotedebasdepageCar"/>
    <w:rsid w:val="00414E34"/>
  </w:style>
  <w:style w:type="character" w:customStyle="1" w:styleId="NotedebasdepageCar">
    <w:name w:val="Note de bas de page Car"/>
    <w:link w:val="Notedebasdepage"/>
    <w:rsid w:val="00414E34"/>
    <w:rPr>
      <w:rFonts w:ascii="Times New Roman" w:eastAsia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1A9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71A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1345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Emmanuel</dc:creator>
  <cp:keywords/>
  <dc:description/>
  <cp:lastModifiedBy>ANDRE Emmanuel</cp:lastModifiedBy>
  <cp:revision>9</cp:revision>
  <cp:lastPrinted>2020-11-18T15:08:00Z</cp:lastPrinted>
  <dcterms:created xsi:type="dcterms:W3CDTF">2020-11-17T16:20:00Z</dcterms:created>
  <dcterms:modified xsi:type="dcterms:W3CDTF">2020-11-18T15:23:00Z</dcterms:modified>
</cp:coreProperties>
</file>